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37F7E95A" w14:textId="77777777" w:rsidR="007A5F93" w:rsidRDefault="007A5F93" w:rsidP="00901D1C">
      <w:pPr>
        <w:spacing w:after="0pt" w:line="12pt" w:lineRule="auto"/>
        <w:jc w:val="center"/>
        <w:rPr>
          <w:rFonts w:ascii="Goudy Old Style" w:hAnsi="Goudy Old Style"/>
          <w:b/>
          <w:bCs/>
          <w:sz w:val="24"/>
          <w:szCs w:val="24"/>
        </w:rPr>
      </w:pPr>
      <w:bookmarkStart w:id="0" w:name="_Hlk138437304"/>
      <w:bookmarkStart w:id="1" w:name="_Hlk43734960"/>
    </w:p>
    <w:p w14:paraId="5920CF9C" w14:textId="77777777" w:rsidR="00F6303A" w:rsidRDefault="00F6303A" w:rsidP="00F6303A">
      <w:pPr>
        <w:spacing w:line="18pt" w:lineRule="auto"/>
        <w:rPr>
          <w:rFonts w:ascii="Book Antiqua" w:hAnsi="Book Antiqua" w:cs="Times New Roman"/>
          <w:b/>
          <w:iCs/>
          <w:color w:val="1F4E79" w:themeColor="accent5" w:themeShade="80"/>
          <w:sz w:val="24"/>
          <w:szCs w:val="24"/>
        </w:rPr>
      </w:pPr>
    </w:p>
    <w:p w14:paraId="69C92F7A" w14:textId="77777777" w:rsidR="00D51211" w:rsidRPr="00D51211" w:rsidRDefault="00D51211" w:rsidP="00A60901">
      <w:pPr>
        <w:spacing w:before="12pt" w:after="12pt"/>
        <w:jc w:val="both"/>
        <w:rPr>
          <w:rFonts w:ascii="Times New Roman" w:eastAsia="Times New Roman" w:hAnsi="Times New Roman" w:cs="Times New Roman"/>
          <w:b/>
          <w:bCs/>
          <w:color w:val="2F5496" w:themeColor="accent1" w:themeShade="BF"/>
          <w:sz w:val="24"/>
          <w:szCs w:val="24"/>
        </w:rPr>
      </w:pPr>
      <w:bookmarkStart w:id="2" w:name="_Hlk184634463"/>
      <w:bookmarkEnd w:id="0"/>
      <w:r w:rsidRPr="00B319F5">
        <w:rPr>
          <w:rFonts w:ascii="Times New Roman" w:eastAsia="Times New Roman" w:hAnsi="Times New Roman" w:cs="Times New Roman"/>
          <w:b/>
          <w:bCs/>
          <w:color w:val="2F5496" w:themeColor="accent1" w:themeShade="BF"/>
          <w:sz w:val="28"/>
          <w:szCs w:val="28"/>
        </w:rPr>
        <w:t>Marketing Digital en la efectividad de las estrategias de redes sociales en América 2020-2024. Una revisión sistemática</w:t>
      </w:r>
      <w:r w:rsidRPr="00D51211">
        <w:rPr>
          <w:rFonts w:ascii="Times New Roman" w:eastAsia="Times New Roman" w:hAnsi="Times New Roman" w:cs="Times New Roman"/>
          <w:b/>
          <w:bCs/>
          <w:color w:val="2F5496" w:themeColor="accent1" w:themeShade="BF"/>
          <w:sz w:val="24"/>
          <w:szCs w:val="24"/>
        </w:rPr>
        <w:t>.</w:t>
      </w:r>
    </w:p>
    <w:bookmarkEnd w:id="2"/>
    <w:p w14:paraId="3AF1FC8E" w14:textId="1FF788A2" w:rsidR="00B47DE7" w:rsidRDefault="00D51211" w:rsidP="00B47DE7">
      <w:pPr>
        <w:spacing w:after="0pt" w:line="12pt" w:lineRule="auto"/>
        <w:rPr>
          <w:rFonts w:ascii="Goudy Old Style" w:hAnsi="Goudy Old Style"/>
          <w:b/>
          <w:bCs/>
          <w:sz w:val="24"/>
          <w:szCs w:val="24"/>
        </w:rPr>
      </w:pPr>
      <w:r>
        <w:rPr>
          <w:rFonts w:ascii="Goudy Old Style" w:hAnsi="Goudy Old Style"/>
          <w:noProof/>
        </w:rPr>
        <w:drawing>
          <wp:inline distT="0" distB="0" distL="0" distR="0" wp14:anchorId="76418158" wp14:editId="63F89182">
            <wp:extent cx="5400040" cy="5404485"/>
            <wp:effectExtent l="0" t="0" r="0" b="5715"/>
            <wp:docPr id="331885555" name="Imagen 1" descr="Un grupo de personas disfrazadas&#10;&#10;Descripción generada automáticamente con confianza medi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31885555" name="Imagen 1" descr="Un grupo de personas disfrazadas&#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5400040" cy="5404485"/>
                    </a:xfrm>
                    <a:prstGeom prst="rect">
                      <a:avLst/>
                    </a:prstGeom>
                  </pic:spPr>
                </pic:pic>
              </a:graphicData>
            </a:graphic>
          </wp:inline>
        </w:drawing>
      </w:r>
    </w:p>
    <w:p w14:paraId="7471E306" w14:textId="77777777" w:rsidR="00D51211" w:rsidRDefault="00D51211" w:rsidP="00B47DE7">
      <w:pPr>
        <w:spacing w:after="0pt" w:line="12pt" w:lineRule="auto"/>
        <w:rPr>
          <w:rFonts w:ascii="Goudy Old Style" w:hAnsi="Goudy Old Style"/>
          <w:b/>
          <w:bCs/>
          <w:sz w:val="24"/>
          <w:szCs w:val="24"/>
        </w:rPr>
      </w:pPr>
    </w:p>
    <w:p w14:paraId="2BB6852E" w14:textId="77777777" w:rsidR="00D51211" w:rsidRDefault="00D51211" w:rsidP="00B47DE7">
      <w:pPr>
        <w:spacing w:after="0pt" w:line="12pt" w:lineRule="auto"/>
        <w:rPr>
          <w:rFonts w:ascii="Goudy Old Style" w:hAnsi="Goudy Old Style"/>
          <w:b/>
          <w:bCs/>
          <w:sz w:val="24"/>
          <w:szCs w:val="24"/>
        </w:rPr>
      </w:pPr>
    </w:p>
    <w:p w14:paraId="2BBF7461" w14:textId="77777777" w:rsidR="00D51211" w:rsidRDefault="00D51211" w:rsidP="00B47DE7">
      <w:pPr>
        <w:spacing w:after="0pt" w:line="12pt" w:lineRule="auto"/>
        <w:rPr>
          <w:rFonts w:ascii="Goudy Old Style" w:hAnsi="Goudy Old Style"/>
          <w:b/>
          <w:bCs/>
          <w:sz w:val="24"/>
          <w:szCs w:val="24"/>
        </w:rPr>
      </w:pPr>
    </w:p>
    <w:p w14:paraId="42C79AA5" w14:textId="77777777" w:rsidR="00D51211" w:rsidRDefault="00D51211" w:rsidP="00B47DE7">
      <w:pPr>
        <w:spacing w:after="0pt" w:line="12pt" w:lineRule="auto"/>
        <w:rPr>
          <w:rFonts w:ascii="Goudy Old Style" w:hAnsi="Goudy Old Style"/>
          <w:b/>
          <w:bCs/>
          <w:sz w:val="24"/>
          <w:szCs w:val="24"/>
        </w:rPr>
      </w:pPr>
    </w:p>
    <w:p w14:paraId="3C8EA105" w14:textId="77777777" w:rsidR="00D51211" w:rsidRDefault="00D51211" w:rsidP="00B47DE7">
      <w:pPr>
        <w:spacing w:after="0pt" w:line="12pt" w:lineRule="auto"/>
        <w:rPr>
          <w:rFonts w:ascii="Goudy Old Style" w:hAnsi="Goudy Old Style"/>
          <w:b/>
          <w:bCs/>
          <w:sz w:val="24"/>
          <w:szCs w:val="24"/>
        </w:rPr>
      </w:pPr>
    </w:p>
    <w:p w14:paraId="6A080F53" w14:textId="77777777" w:rsidR="00D51211" w:rsidRDefault="00D51211" w:rsidP="00B47DE7">
      <w:pPr>
        <w:spacing w:after="0pt" w:line="12pt" w:lineRule="auto"/>
        <w:rPr>
          <w:rFonts w:ascii="Goudy Old Style" w:hAnsi="Goudy Old Style"/>
          <w:b/>
          <w:bCs/>
          <w:sz w:val="24"/>
          <w:szCs w:val="24"/>
        </w:rPr>
      </w:pPr>
    </w:p>
    <w:p w14:paraId="1B3FCFB0" w14:textId="77777777" w:rsidR="00D51211" w:rsidRDefault="00D51211" w:rsidP="00B47DE7">
      <w:pPr>
        <w:spacing w:after="0pt" w:line="12pt" w:lineRule="auto"/>
        <w:rPr>
          <w:rFonts w:ascii="Goudy Old Style" w:hAnsi="Goudy Old Style"/>
          <w:b/>
          <w:bCs/>
          <w:sz w:val="24"/>
          <w:szCs w:val="24"/>
        </w:rPr>
      </w:pPr>
    </w:p>
    <w:p w14:paraId="3632AC02" w14:textId="77777777" w:rsidR="00D51211" w:rsidRDefault="00D51211" w:rsidP="00B47DE7">
      <w:pPr>
        <w:spacing w:after="0pt" w:line="12pt" w:lineRule="auto"/>
        <w:rPr>
          <w:rFonts w:ascii="Goudy Old Style" w:hAnsi="Goudy Old Style"/>
          <w:b/>
          <w:bCs/>
          <w:sz w:val="24"/>
          <w:szCs w:val="24"/>
        </w:rPr>
      </w:pPr>
    </w:p>
    <w:p w14:paraId="682E5F18" w14:textId="51E47443" w:rsidR="00B47DE7" w:rsidRPr="00B47DE7" w:rsidRDefault="00B47DE7" w:rsidP="00B47DE7">
      <w:pPr>
        <w:spacing w:after="0pt" w:line="12pt" w:lineRule="auto"/>
        <w:contextualSpacing/>
        <w:jc w:val="end"/>
        <w:rPr>
          <w:rFonts w:ascii="Goudy Old Style" w:hAnsi="Goudy Old Style"/>
          <w:sz w:val="24"/>
          <w:szCs w:val="24"/>
        </w:rPr>
        <w:sectPr w:rsidR="00B47DE7" w:rsidRPr="00B47DE7" w:rsidSect="00AB792C">
          <w:headerReference w:type="even" r:id="rId9"/>
          <w:headerReference w:type="default" r:id="rId10"/>
          <w:footerReference w:type="even" r:id="rId11"/>
          <w:footerReference w:type="default" r:id="rId12"/>
          <w:pgSz w:w="595.30pt" w:h="841.90pt"/>
          <w:pgMar w:top="70.85pt" w:right="85.05pt" w:bottom="70.85pt" w:left="85.05pt" w:header="35.40pt" w:footer="35.40pt" w:gutter="0pt"/>
          <w:pgNumType w:start="81"/>
          <w:cols w:space="35.40pt"/>
          <w:docGrid w:linePitch="360"/>
        </w:sectPr>
      </w:pPr>
    </w:p>
    <w:p w14:paraId="5E61BCD6"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04D939C5" w14:textId="77777777" w:rsidR="00D51211" w:rsidRPr="00D51211" w:rsidRDefault="00D51211" w:rsidP="00D51211">
      <w:pPr>
        <w:keepLines/>
        <w:spacing w:before="12pt" w:after="12pt" w:line="12pt" w:lineRule="auto"/>
        <w:contextualSpacing/>
        <w:jc w:val="end"/>
        <w:rPr>
          <w:rFonts w:ascii="Times New Roman" w:eastAsia="Times New Roman" w:hAnsi="Times New Roman" w:cs="Times New Roman"/>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Pr="00D51211">
        <w:rPr>
          <w:rFonts w:ascii="Times New Roman" w:eastAsia="Times New Roman" w:hAnsi="Times New Roman" w:cs="Times New Roman"/>
        </w:rPr>
        <w:t xml:space="preserve">Diaz Cercado, Juliette Gianella </w:t>
      </w:r>
    </w:p>
    <w:p w14:paraId="1C89E667" w14:textId="77777777" w:rsidR="00D51211" w:rsidRPr="00D51211" w:rsidRDefault="00D51211" w:rsidP="00D51211">
      <w:pPr>
        <w:keepLines/>
        <w:spacing w:before="12pt" w:after="12pt" w:line="12pt" w:lineRule="auto"/>
        <w:contextualSpacing/>
        <w:jc w:val="end"/>
        <w:rPr>
          <w:rFonts w:ascii="Times New Roman" w:eastAsia="Times New Roman" w:hAnsi="Times New Roman" w:cs="Times New Roman"/>
        </w:rPr>
      </w:pPr>
      <w:hyperlink r:id="rId13">
        <w:r w:rsidRPr="00D51211">
          <w:rPr>
            <w:rFonts w:ascii="Times New Roman" w:eastAsia="Times New Roman" w:hAnsi="Times New Roman" w:cs="Times New Roman"/>
            <w:color w:val="1155CC"/>
            <w:u w:val="single"/>
          </w:rPr>
          <w:t>juliettediazcercado@gmail.com</w:t>
        </w:r>
      </w:hyperlink>
    </w:p>
    <w:p w14:paraId="7158BADB" w14:textId="77777777" w:rsidR="00D51211" w:rsidRPr="00D51211" w:rsidRDefault="00D51211" w:rsidP="00D51211">
      <w:pPr>
        <w:keepLines/>
        <w:spacing w:before="12pt" w:after="12pt" w:line="12pt" w:lineRule="auto"/>
        <w:contextualSpacing/>
        <w:jc w:val="end"/>
        <w:rPr>
          <w:rFonts w:ascii="Times New Roman" w:eastAsia="Times New Roman" w:hAnsi="Times New Roman" w:cs="Times New Roman"/>
        </w:rPr>
      </w:pPr>
      <w:hyperlink r:id="rId14">
        <w:r w:rsidRPr="00D51211">
          <w:rPr>
            <w:rFonts w:ascii="Times New Roman" w:eastAsia="Times New Roman" w:hAnsi="Times New Roman" w:cs="Times New Roman"/>
            <w:color w:val="1155CC"/>
            <w:highlight w:val="white"/>
            <w:u w:val="single"/>
          </w:rPr>
          <w:t>https://orcid.org/</w:t>
        </w:r>
      </w:hyperlink>
      <w:hyperlink r:id="rId15">
        <w:r w:rsidRPr="00D51211">
          <w:rPr>
            <w:rFonts w:ascii="Times New Roman" w:eastAsia="Times New Roman" w:hAnsi="Times New Roman" w:cs="Times New Roman"/>
            <w:color w:val="1155CC"/>
            <w:u w:val="single"/>
          </w:rPr>
          <w:t>0009-0008-3160-5391</w:t>
        </w:r>
      </w:hyperlink>
    </w:p>
    <w:p w14:paraId="740561A9" w14:textId="77777777" w:rsidR="00D51211" w:rsidRPr="00D51211" w:rsidRDefault="00D51211" w:rsidP="00D51211">
      <w:pPr>
        <w:keepLines/>
        <w:spacing w:line="12pt" w:lineRule="auto"/>
        <w:contextualSpacing/>
        <w:jc w:val="end"/>
        <w:rPr>
          <w:rFonts w:ascii="Times New Roman" w:eastAsia="Times New Roman" w:hAnsi="Times New Roman" w:cs="Times New Roman"/>
          <w:highlight w:val="white"/>
        </w:rPr>
      </w:pPr>
      <w:r w:rsidRPr="00D51211">
        <w:rPr>
          <w:rFonts w:ascii="Times New Roman" w:eastAsia="Times New Roman" w:hAnsi="Times New Roman" w:cs="Times New Roman"/>
          <w:highlight w:val="white"/>
        </w:rPr>
        <w:t>Universidad Peruana de Ciencias Aplicadas</w:t>
      </w:r>
    </w:p>
    <w:p w14:paraId="0D808536" w14:textId="77777777" w:rsidR="00D51211" w:rsidRDefault="00D51211" w:rsidP="00D51211">
      <w:pPr>
        <w:keepLines/>
        <w:spacing w:line="12pt" w:lineRule="auto"/>
        <w:contextualSpacing/>
        <w:jc w:val="end"/>
        <w:rPr>
          <w:rFonts w:ascii="Times New Roman" w:eastAsia="Times New Roman" w:hAnsi="Times New Roman" w:cs="Times New Roman"/>
          <w:highlight w:val="white"/>
        </w:rPr>
      </w:pPr>
      <w:r w:rsidRPr="00D51211">
        <w:rPr>
          <w:rFonts w:ascii="Times New Roman" w:eastAsia="Times New Roman" w:hAnsi="Times New Roman" w:cs="Times New Roman"/>
          <w:highlight w:val="white"/>
        </w:rPr>
        <w:t>Lima, Perú</w:t>
      </w:r>
    </w:p>
    <w:p w14:paraId="1D0BC9E6" w14:textId="77777777" w:rsidR="00D51211" w:rsidRPr="00D51211" w:rsidRDefault="00D51211" w:rsidP="00D51211">
      <w:pPr>
        <w:keepLines/>
        <w:spacing w:line="12pt" w:lineRule="auto"/>
        <w:contextualSpacing/>
        <w:jc w:val="end"/>
        <w:rPr>
          <w:rFonts w:ascii="Times New Roman" w:eastAsia="Times New Roman" w:hAnsi="Times New Roman" w:cs="Times New Roman"/>
          <w:highlight w:val="white"/>
        </w:rPr>
      </w:pPr>
    </w:p>
    <w:p w14:paraId="168322FD" w14:textId="0D3535D4" w:rsidR="00D51211" w:rsidRPr="00D51211" w:rsidRDefault="00D51211" w:rsidP="00D51211">
      <w:pPr>
        <w:spacing w:before="12pt" w:after="12pt" w:line="12pt" w:lineRule="auto"/>
        <w:contextualSpacing/>
        <w:jc w:val="end"/>
        <w:rPr>
          <w:rFonts w:ascii="Times New Roman" w:eastAsia="Times New Roman" w:hAnsi="Times New Roman" w:cs="Times New Roman"/>
        </w:rPr>
      </w:pPr>
      <w:r w:rsidRPr="00D51211">
        <w:rPr>
          <w:rFonts w:ascii="Times New Roman" w:eastAsia="Times New Roman" w:hAnsi="Times New Roman" w:cs="Times New Roman"/>
        </w:rPr>
        <w:t xml:space="preserve">                              Rojas </w:t>
      </w:r>
      <w:r w:rsidR="00A907B9" w:rsidRPr="00D51211">
        <w:rPr>
          <w:rFonts w:ascii="Times New Roman" w:eastAsia="Times New Roman" w:hAnsi="Times New Roman" w:cs="Times New Roman"/>
        </w:rPr>
        <w:t>Ortiz,</w:t>
      </w:r>
      <w:r w:rsidRPr="00D51211">
        <w:rPr>
          <w:rFonts w:ascii="Times New Roman" w:eastAsia="Times New Roman" w:hAnsi="Times New Roman" w:cs="Times New Roman"/>
        </w:rPr>
        <w:t xml:space="preserve"> </w:t>
      </w:r>
      <w:proofErr w:type="spellStart"/>
      <w:r w:rsidRPr="00D51211">
        <w:rPr>
          <w:rFonts w:ascii="Times New Roman" w:eastAsia="Times New Roman" w:hAnsi="Times New Roman" w:cs="Times New Roman"/>
        </w:rPr>
        <w:t>Jose</w:t>
      </w:r>
      <w:proofErr w:type="spellEnd"/>
      <w:r w:rsidRPr="00D51211">
        <w:rPr>
          <w:rFonts w:ascii="Times New Roman" w:eastAsia="Times New Roman" w:hAnsi="Times New Roman" w:cs="Times New Roman"/>
        </w:rPr>
        <w:t xml:space="preserve"> Manuel  </w:t>
      </w:r>
    </w:p>
    <w:p w14:paraId="3FE20A7E" w14:textId="77777777" w:rsidR="00D51211" w:rsidRPr="00D51211" w:rsidRDefault="00D51211" w:rsidP="00D51211">
      <w:pPr>
        <w:spacing w:before="12pt" w:after="12pt" w:line="12pt" w:lineRule="auto"/>
        <w:contextualSpacing/>
        <w:jc w:val="end"/>
        <w:rPr>
          <w:rFonts w:ascii="Times New Roman" w:eastAsia="Times New Roman" w:hAnsi="Times New Roman" w:cs="Times New Roman"/>
        </w:rPr>
      </w:pPr>
      <w:hyperlink r:id="rId16">
        <w:r w:rsidRPr="00D51211">
          <w:rPr>
            <w:rFonts w:ascii="Times New Roman" w:eastAsia="Times New Roman" w:hAnsi="Times New Roman" w:cs="Times New Roman"/>
            <w:color w:val="1155CC"/>
            <w:u w:val="single"/>
          </w:rPr>
          <w:t>josue.rojas0118@gmail.com</w:t>
        </w:r>
      </w:hyperlink>
      <w:r w:rsidRPr="00D51211">
        <w:rPr>
          <w:rFonts w:ascii="Times New Roman" w:eastAsia="Times New Roman" w:hAnsi="Times New Roman" w:cs="Times New Roman"/>
        </w:rPr>
        <w:t xml:space="preserve"> </w:t>
      </w:r>
    </w:p>
    <w:p w14:paraId="5DB961A8" w14:textId="77777777" w:rsidR="00D51211" w:rsidRPr="00D51211" w:rsidRDefault="00D51211" w:rsidP="00D51211">
      <w:pPr>
        <w:spacing w:before="12pt" w:after="12pt" w:line="12pt" w:lineRule="auto"/>
        <w:contextualSpacing/>
        <w:jc w:val="end"/>
        <w:rPr>
          <w:rFonts w:ascii="Times New Roman" w:eastAsia="Times New Roman" w:hAnsi="Times New Roman" w:cs="Times New Roman"/>
        </w:rPr>
      </w:pPr>
      <w:hyperlink r:id="rId17">
        <w:r w:rsidRPr="00D51211">
          <w:rPr>
            <w:rFonts w:ascii="Times New Roman" w:eastAsia="Times New Roman" w:hAnsi="Times New Roman" w:cs="Times New Roman"/>
            <w:color w:val="1155CC"/>
            <w:highlight w:val="white"/>
            <w:u w:val="single"/>
          </w:rPr>
          <w:t>https://orcid.org/</w:t>
        </w:r>
      </w:hyperlink>
      <w:hyperlink r:id="rId18">
        <w:r w:rsidRPr="00D51211">
          <w:rPr>
            <w:rFonts w:ascii="Times New Roman" w:eastAsia="Times New Roman" w:hAnsi="Times New Roman" w:cs="Times New Roman"/>
            <w:color w:val="1155CC"/>
            <w:u w:val="single"/>
          </w:rPr>
          <w:t>0009-0006-1853-4141</w:t>
        </w:r>
      </w:hyperlink>
    </w:p>
    <w:p w14:paraId="2BE45ABA" w14:textId="77777777" w:rsidR="00D51211" w:rsidRPr="00D51211" w:rsidRDefault="00D51211" w:rsidP="00D51211">
      <w:pPr>
        <w:spacing w:line="12pt" w:lineRule="auto"/>
        <w:contextualSpacing/>
        <w:jc w:val="end"/>
        <w:rPr>
          <w:rFonts w:ascii="Times New Roman" w:eastAsia="Times New Roman" w:hAnsi="Times New Roman" w:cs="Times New Roman"/>
          <w:highlight w:val="white"/>
        </w:rPr>
      </w:pPr>
      <w:r w:rsidRPr="00D51211">
        <w:rPr>
          <w:rFonts w:ascii="Times New Roman" w:eastAsia="Times New Roman" w:hAnsi="Times New Roman" w:cs="Times New Roman"/>
          <w:highlight w:val="white"/>
        </w:rPr>
        <w:t>Universidad Peruana de Ciencias Aplicadas</w:t>
      </w:r>
    </w:p>
    <w:p w14:paraId="72794C3D" w14:textId="77777777" w:rsidR="00D51211" w:rsidRDefault="00D51211" w:rsidP="00D51211">
      <w:pPr>
        <w:spacing w:line="12pt" w:lineRule="auto"/>
        <w:contextualSpacing/>
        <w:jc w:val="end"/>
        <w:rPr>
          <w:rFonts w:ascii="Times New Roman" w:eastAsia="Times New Roman" w:hAnsi="Times New Roman" w:cs="Times New Roman"/>
        </w:rPr>
      </w:pPr>
      <w:r w:rsidRPr="00D51211">
        <w:rPr>
          <w:rFonts w:ascii="Times New Roman" w:eastAsia="Times New Roman" w:hAnsi="Times New Roman" w:cs="Times New Roman"/>
          <w:highlight w:val="white"/>
        </w:rPr>
        <w:t>Lima, Perú</w:t>
      </w:r>
    </w:p>
    <w:p w14:paraId="5E79D42B" w14:textId="77777777" w:rsidR="00D51211" w:rsidRPr="00D51211" w:rsidRDefault="00D51211" w:rsidP="00D51211">
      <w:pPr>
        <w:spacing w:line="12pt" w:lineRule="auto"/>
        <w:contextualSpacing/>
        <w:jc w:val="end"/>
        <w:rPr>
          <w:rFonts w:ascii="Times New Roman" w:eastAsia="Times New Roman" w:hAnsi="Times New Roman" w:cs="Times New Roman"/>
        </w:rPr>
      </w:pPr>
    </w:p>
    <w:p w14:paraId="326EA29E" w14:textId="7D0B0E87" w:rsidR="00D51211" w:rsidRPr="00D51211" w:rsidRDefault="00D51211" w:rsidP="00D51211">
      <w:pPr>
        <w:spacing w:before="12pt" w:after="12pt" w:line="12pt" w:lineRule="auto"/>
        <w:contextualSpacing/>
        <w:jc w:val="end"/>
        <w:rPr>
          <w:rFonts w:ascii="Times New Roman" w:eastAsia="Times New Roman" w:hAnsi="Times New Roman" w:cs="Times New Roman"/>
        </w:rPr>
      </w:pPr>
      <w:r w:rsidRPr="00D51211">
        <w:rPr>
          <w:rFonts w:ascii="Times New Roman" w:eastAsia="Times New Roman" w:hAnsi="Times New Roman" w:cs="Times New Roman"/>
        </w:rPr>
        <w:t xml:space="preserve">                              Sánchez </w:t>
      </w:r>
      <w:r w:rsidR="00DF3312" w:rsidRPr="00D51211">
        <w:rPr>
          <w:rFonts w:ascii="Times New Roman" w:eastAsia="Times New Roman" w:hAnsi="Times New Roman" w:cs="Times New Roman"/>
        </w:rPr>
        <w:t>Gaspar,</w:t>
      </w:r>
      <w:r w:rsidRPr="00D51211">
        <w:rPr>
          <w:rFonts w:ascii="Times New Roman" w:eastAsia="Times New Roman" w:hAnsi="Times New Roman" w:cs="Times New Roman"/>
        </w:rPr>
        <w:t xml:space="preserve"> Vanesa Karina </w:t>
      </w:r>
    </w:p>
    <w:p w14:paraId="596154F3" w14:textId="77777777" w:rsidR="00D51211" w:rsidRPr="00D51211" w:rsidRDefault="00D51211" w:rsidP="00D51211">
      <w:pPr>
        <w:spacing w:before="12pt" w:after="12pt" w:line="12pt" w:lineRule="auto"/>
        <w:contextualSpacing/>
        <w:jc w:val="end"/>
        <w:rPr>
          <w:rFonts w:ascii="Times New Roman" w:eastAsia="Times New Roman" w:hAnsi="Times New Roman" w:cs="Times New Roman"/>
        </w:rPr>
      </w:pPr>
      <w:hyperlink r:id="rId19">
        <w:r w:rsidRPr="00D51211">
          <w:rPr>
            <w:rFonts w:ascii="Times New Roman" w:eastAsia="Times New Roman" w:hAnsi="Times New Roman" w:cs="Times New Roman"/>
            <w:color w:val="1155CC"/>
            <w:u w:val="single"/>
          </w:rPr>
          <w:t>vanesa.sg2000@gmail.com</w:t>
        </w:r>
      </w:hyperlink>
      <w:r w:rsidRPr="00D51211">
        <w:rPr>
          <w:rFonts w:ascii="Times New Roman" w:eastAsia="Times New Roman" w:hAnsi="Times New Roman" w:cs="Times New Roman"/>
        </w:rPr>
        <w:t xml:space="preserve"> </w:t>
      </w:r>
    </w:p>
    <w:p w14:paraId="0604C80C" w14:textId="77777777" w:rsidR="00D51211" w:rsidRPr="00D51211" w:rsidRDefault="00D51211" w:rsidP="00D51211">
      <w:pPr>
        <w:spacing w:before="12pt" w:after="12pt" w:line="12pt" w:lineRule="auto"/>
        <w:contextualSpacing/>
        <w:jc w:val="end"/>
        <w:rPr>
          <w:rFonts w:ascii="Times New Roman" w:eastAsia="Times New Roman" w:hAnsi="Times New Roman" w:cs="Times New Roman"/>
        </w:rPr>
      </w:pPr>
      <w:hyperlink r:id="rId20">
        <w:r w:rsidRPr="00D51211">
          <w:rPr>
            <w:rFonts w:ascii="Times New Roman" w:eastAsia="Times New Roman" w:hAnsi="Times New Roman" w:cs="Times New Roman"/>
            <w:color w:val="1155CC"/>
            <w:highlight w:val="white"/>
            <w:u w:val="single"/>
          </w:rPr>
          <w:t>https://orcid.org/</w:t>
        </w:r>
      </w:hyperlink>
      <w:hyperlink r:id="rId21">
        <w:r w:rsidRPr="00D51211">
          <w:rPr>
            <w:rFonts w:ascii="Times New Roman" w:eastAsia="Times New Roman" w:hAnsi="Times New Roman" w:cs="Times New Roman"/>
            <w:color w:val="1155CC"/>
            <w:u w:val="single"/>
          </w:rPr>
          <w:t>0009-0005-6677-0440</w:t>
        </w:r>
      </w:hyperlink>
    </w:p>
    <w:p w14:paraId="007B18B4" w14:textId="77777777" w:rsidR="00D51211" w:rsidRPr="00D51211" w:rsidRDefault="00D51211" w:rsidP="00D51211">
      <w:pPr>
        <w:spacing w:line="12pt" w:lineRule="auto"/>
        <w:contextualSpacing/>
        <w:jc w:val="end"/>
        <w:rPr>
          <w:rFonts w:ascii="Times New Roman" w:eastAsia="Times New Roman" w:hAnsi="Times New Roman" w:cs="Times New Roman"/>
          <w:highlight w:val="white"/>
        </w:rPr>
      </w:pPr>
      <w:r w:rsidRPr="00D51211">
        <w:rPr>
          <w:rFonts w:ascii="Times New Roman" w:eastAsia="Times New Roman" w:hAnsi="Times New Roman" w:cs="Times New Roman"/>
          <w:highlight w:val="white"/>
        </w:rPr>
        <w:t>Universidad Peruana de Ciencias Aplicadas</w:t>
      </w:r>
    </w:p>
    <w:p w14:paraId="0D6F688B" w14:textId="77777777" w:rsidR="00D51211" w:rsidRDefault="00D51211" w:rsidP="00D51211">
      <w:pPr>
        <w:spacing w:line="12pt" w:lineRule="auto"/>
        <w:contextualSpacing/>
        <w:jc w:val="end"/>
        <w:rPr>
          <w:rFonts w:ascii="Times New Roman" w:eastAsia="Times New Roman" w:hAnsi="Times New Roman" w:cs="Times New Roman"/>
        </w:rPr>
      </w:pPr>
      <w:r w:rsidRPr="00D51211">
        <w:rPr>
          <w:rFonts w:ascii="Times New Roman" w:eastAsia="Times New Roman" w:hAnsi="Times New Roman" w:cs="Times New Roman"/>
          <w:highlight w:val="white"/>
        </w:rPr>
        <w:t>Lima, Perú</w:t>
      </w:r>
    </w:p>
    <w:p w14:paraId="5790DE4B" w14:textId="77777777" w:rsidR="00D51211" w:rsidRPr="00D51211" w:rsidRDefault="00D51211" w:rsidP="00D51211">
      <w:pPr>
        <w:spacing w:line="12pt" w:lineRule="auto"/>
        <w:contextualSpacing/>
        <w:jc w:val="end"/>
        <w:rPr>
          <w:rFonts w:ascii="Times New Roman" w:eastAsia="Times New Roman" w:hAnsi="Times New Roman" w:cs="Times New Roman"/>
        </w:rPr>
      </w:pPr>
    </w:p>
    <w:p w14:paraId="060A43FD" w14:textId="2DDD7069" w:rsidR="00D51211" w:rsidRPr="00D51211" w:rsidRDefault="00D51211" w:rsidP="00D51211">
      <w:pPr>
        <w:spacing w:before="12pt" w:after="12pt" w:line="12pt" w:lineRule="auto"/>
        <w:contextualSpacing/>
        <w:jc w:val="end"/>
        <w:rPr>
          <w:rFonts w:ascii="Times New Roman" w:eastAsia="Times New Roman" w:hAnsi="Times New Roman" w:cs="Times New Roman"/>
        </w:rPr>
      </w:pPr>
      <w:r w:rsidRPr="00D51211">
        <w:rPr>
          <w:rFonts w:ascii="Times New Roman" w:eastAsia="Times New Roman" w:hAnsi="Times New Roman" w:cs="Times New Roman"/>
        </w:rPr>
        <w:t xml:space="preserve">                              </w:t>
      </w:r>
      <w:proofErr w:type="spellStart"/>
      <w:r w:rsidRPr="00D51211">
        <w:rPr>
          <w:rFonts w:ascii="Times New Roman" w:eastAsia="Times New Roman" w:hAnsi="Times New Roman" w:cs="Times New Roman"/>
        </w:rPr>
        <w:t>Vasquez</w:t>
      </w:r>
      <w:proofErr w:type="spellEnd"/>
      <w:r w:rsidRPr="00D51211">
        <w:rPr>
          <w:rFonts w:ascii="Times New Roman" w:eastAsia="Times New Roman" w:hAnsi="Times New Roman" w:cs="Times New Roman"/>
        </w:rPr>
        <w:t xml:space="preserve"> </w:t>
      </w:r>
      <w:r w:rsidR="00DF3312" w:rsidRPr="00D51211">
        <w:rPr>
          <w:rFonts w:ascii="Times New Roman" w:eastAsia="Times New Roman" w:hAnsi="Times New Roman" w:cs="Times New Roman"/>
        </w:rPr>
        <w:t>Noriega,</w:t>
      </w:r>
      <w:r w:rsidRPr="00D51211">
        <w:rPr>
          <w:rFonts w:ascii="Times New Roman" w:eastAsia="Times New Roman" w:hAnsi="Times New Roman" w:cs="Times New Roman"/>
        </w:rPr>
        <w:t xml:space="preserve"> Luis Alberto </w:t>
      </w:r>
    </w:p>
    <w:p w14:paraId="52DEF552" w14:textId="77777777" w:rsidR="00D51211" w:rsidRPr="00D51211" w:rsidRDefault="00D51211" w:rsidP="00D51211">
      <w:pPr>
        <w:spacing w:before="12pt" w:after="12pt" w:line="12pt" w:lineRule="auto"/>
        <w:contextualSpacing/>
        <w:jc w:val="end"/>
        <w:rPr>
          <w:rFonts w:ascii="Times New Roman" w:eastAsia="Times New Roman" w:hAnsi="Times New Roman" w:cs="Times New Roman"/>
        </w:rPr>
      </w:pPr>
      <w:hyperlink r:id="rId22">
        <w:r w:rsidRPr="00D51211">
          <w:rPr>
            <w:rFonts w:ascii="Times New Roman" w:eastAsia="Times New Roman" w:hAnsi="Times New Roman" w:cs="Times New Roman"/>
            <w:color w:val="1155CC"/>
            <w:u w:val="single"/>
          </w:rPr>
          <w:t>luisvasquez.lavn@gmail.com</w:t>
        </w:r>
      </w:hyperlink>
      <w:r w:rsidRPr="00D51211">
        <w:rPr>
          <w:rFonts w:ascii="Times New Roman" w:eastAsia="Times New Roman" w:hAnsi="Times New Roman" w:cs="Times New Roman"/>
        </w:rPr>
        <w:t xml:space="preserve"> </w:t>
      </w:r>
    </w:p>
    <w:p w14:paraId="4E763A05" w14:textId="77777777" w:rsidR="00D51211" w:rsidRPr="00D51211" w:rsidRDefault="00D51211" w:rsidP="00D51211">
      <w:pPr>
        <w:spacing w:before="12pt" w:after="12pt" w:line="12pt" w:lineRule="auto"/>
        <w:contextualSpacing/>
        <w:jc w:val="end"/>
        <w:rPr>
          <w:rFonts w:ascii="Times New Roman" w:eastAsia="Times New Roman" w:hAnsi="Times New Roman" w:cs="Times New Roman"/>
        </w:rPr>
      </w:pPr>
      <w:hyperlink r:id="rId23">
        <w:r w:rsidRPr="00D51211">
          <w:rPr>
            <w:rFonts w:ascii="Times New Roman" w:eastAsia="Times New Roman" w:hAnsi="Times New Roman" w:cs="Times New Roman"/>
            <w:color w:val="1155CC"/>
            <w:highlight w:val="white"/>
            <w:u w:val="single"/>
          </w:rPr>
          <w:t>https://orcid.org/</w:t>
        </w:r>
      </w:hyperlink>
      <w:hyperlink r:id="rId24">
        <w:r w:rsidRPr="00D51211">
          <w:rPr>
            <w:rFonts w:ascii="Times New Roman" w:eastAsia="Times New Roman" w:hAnsi="Times New Roman" w:cs="Times New Roman"/>
            <w:color w:val="1155CC"/>
            <w:u w:val="single"/>
          </w:rPr>
          <w:t>0009-0005-7606-1939</w:t>
        </w:r>
      </w:hyperlink>
    </w:p>
    <w:p w14:paraId="289CB147" w14:textId="77777777" w:rsidR="00D51211" w:rsidRPr="00D51211" w:rsidRDefault="00D51211" w:rsidP="00D51211">
      <w:pPr>
        <w:spacing w:line="12pt" w:lineRule="auto"/>
        <w:contextualSpacing/>
        <w:jc w:val="end"/>
        <w:rPr>
          <w:rFonts w:ascii="Times New Roman" w:eastAsia="Times New Roman" w:hAnsi="Times New Roman" w:cs="Times New Roman"/>
          <w:highlight w:val="white"/>
        </w:rPr>
      </w:pPr>
      <w:r w:rsidRPr="00D51211">
        <w:rPr>
          <w:rFonts w:ascii="Times New Roman" w:eastAsia="Times New Roman" w:hAnsi="Times New Roman" w:cs="Times New Roman"/>
          <w:highlight w:val="white"/>
        </w:rPr>
        <w:t>Universidad Peruana de Ciencias Aplicadas</w:t>
      </w:r>
    </w:p>
    <w:p w14:paraId="27AF7AA0" w14:textId="1E49B402" w:rsidR="00D51211" w:rsidRPr="00D51211" w:rsidRDefault="00D51211" w:rsidP="00D51211">
      <w:pPr>
        <w:tabs>
          <w:tab w:val="start" w:pos="170.10pt"/>
        </w:tabs>
        <w:spacing w:after="0pt" w:line="12pt" w:lineRule="auto"/>
        <w:contextualSpacing/>
        <w:jc w:val="end"/>
        <w:rPr>
          <w:rFonts w:ascii="Times New Roman" w:eastAsia="Times New Roman" w:hAnsi="Times New Roman" w:cs="Times New Roman"/>
        </w:rPr>
      </w:pPr>
      <w:r w:rsidRPr="00D51211">
        <w:rPr>
          <w:rFonts w:ascii="Times New Roman" w:eastAsia="Times New Roman" w:hAnsi="Times New Roman" w:cs="Times New Roman"/>
          <w:highlight w:val="white"/>
        </w:rPr>
        <w:t>Lima, Perú</w:t>
      </w:r>
    </w:p>
    <w:p w14:paraId="6DB9284A" w14:textId="77777777" w:rsidR="00D51211" w:rsidRPr="00D51211" w:rsidRDefault="00D51211" w:rsidP="00D51211">
      <w:pPr>
        <w:tabs>
          <w:tab w:val="start" w:pos="170.10pt"/>
        </w:tabs>
        <w:spacing w:after="0pt" w:line="12pt" w:lineRule="auto"/>
        <w:jc w:val="end"/>
        <w:rPr>
          <w:rFonts w:ascii="Times New Roman" w:eastAsia="Times New Roman" w:hAnsi="Times New Roman" w:cs="Times New Roman"/>
        </w:rPr>
      </w:pPr>
    </w:p>
    <w:p w14:paraId="352EC2C8"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58D900AC"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2B53A10D"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7F8B166F"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18DBE75C"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1D3268A5"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57AB2A88"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70DD2E3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3A5803DC"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4CFB5FF6"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45BA8A52"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1CD97744"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55713266"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1851B27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20E77748"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744E086E"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389185B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6CE329BD"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6184DE80"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0774B41C"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0BD2C0E8"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359C7367"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6F4B32E6" w14:textId="528678BD" w:rsidR="00EE7AB0" w:rsidRDefault="004B6392" w:rsidP="00CC0AD9">
      <w:pPr>
        <w:tabs>
          <w:tab w:val="start" w:pos="170.10pt"/>
        </w:tabs>
        <w:spacing w:after="0pt"/>
        <w:jc w:val="both"/>
        <w:rPr>
          <w:rFonts w:ascii="Goudy Old Style" w:hAnsi="Goudy Old Style" w:cs="Arial"/>
          <w:b/>
          <w:bCs/>
          <w:color w:val="00B050"/>
          <w:sz w:val="24"/>
          <w:szCs w:val="24"/>
        </w:rPr>
      </w:pPr>
      <w:r>
        <w:rPr>
          <w:rFonts w:ascii="Goudy Old Style" w:hAnsi="Goudy Old Style" w:cs="Arial"/>
          <w:b/>
          <w:bCs/>
          <w:color w:val="00B050"/>
          <w:sz w:val="24"/>
          <w:szCs w:val="24"/>
        </w:rPr>
        <w:t>R</w:t>
      </w:r>
      <w:r w:rsidR="00EE7AB0" w:rsidRPr="00465E4D">
        <w:rPr>
          <w:rFonts w:ascii="Goudy Old Style" w:hAnsi="Goudy Old Style" w:cs="Arial"/>
          <w:b/>
          <w:bCs/>
          <w:color w:val="00B050"/>
          <w:sz w:val="24"/>
          <w:szCs w:val="24"/>
        </w:rPr>
        <w:t>esum</w:t>
      </w:r>
      <w:r w:rsidR="00B50015" w:rsidRPr="00465E4D">
        <w:rPr>
          <w:rFonts w:ascii="Goudy Old Style" w:hAnsi="Goudy Old Style" w:cs="Arial"/>
          <w:b/>
          <w:bCs/>
          <w:color w:val="00B050"/>
          <w:sz w:val="24"/>
          <w:szCs w:val="24"/>
        </w:rPr>
        <w:t>en</w:t>
      </w:r>
    </w:p>
    <w:p w14:paraId="24452886" w14:textId="77777777" w:rsidR="00D51211" w:rsidRPr="00465E4D" w:rsidRDefault="00D51211" w:rsidP="00CC0AD9">
      <w:pPr>
        <w:tabs>
          <w:tab w:val="start" w:pos="170.10pt"/>
        </w:tabs>
        <w:spacing w:after="0pt"/>
        <w:jc w:val="both"/>
        <w:rPr>
          <w:rFonts w:ascii="Goudy Old Style" w:hAnsi="Goudy Old Style" w:cs="Arial"/>
          <w:color w:val="00B050"/>
          <w:sz w:val="24"/>
          <w:szCs w:val="24"/>
        </w:rPr>
      </w:pPr>
    </w:p>
    <w:p w14:paraId="6C2A3574" w14:textId="77777777" w:rsidR="00D51211" w:rsidRDefault="00D51211" w:rsidP="00D51211">
      <w:pPr>
        <w:spacing w:line="12pt" w:lineRule="auto"/>
        <w:jc w:val="both"/>
        <w:rPr>
          <w:rFonts w:ascii="Times New Roman" w:eastAsia="Times New Roman" w:hAnsi="Times New Roman" w:cs="Times New Roman"/>
          <w:sz w:val="24"/>
          <w:szCs w:val="24"/>
        </w:rPr>
      </w:pPr>
      <w:bookmarkStart w:id="3" w:name="_Hlk184634648"/>
      <w:r>
        <w:rPr>
          <w:rFonts w:ascii="Times New Roman" w:eastAsia="Times New Roman" w:hAnsi="Times New Roman" w:cs="Times New Roman"/>
          <w:sz w:val="24"/>
          <w:szCs w:val="24"/>
        </w:rPr>
        <w:t xml:space="preserve">Este estudio examina el efecto del marketing digital en la efectividad de las estrategias de redes sociales en América entre 2020 y 2024. Utiliza una metodología basada en revisión de literatura científica de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y Web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sz w:val="24"/>
          <w:szCs w:val="24"/>
        </w:rPr>
        <w:t xml:space="preserve"> para identificar tendencias y cambios en este impacto. Selecciona y analiza 21 artículos relevantes sobre el tema utilizando el método de Declaración Prisma. Sugiere que la planificación de medios debe centrarse en promover el compromiso a través de interacciones significativas con los consumidores. Destaca la importancia de la medición y consideraciones éticas en la publicidad digital. Encuentra que las "</w:t>
      </w:r>
      <w:proofErr w:type="spellStart"/>
      <w:r>
        <w:rPr>
          <w:rFonts w:ascii="Times New Roman" w:eastAsia="Times New Roman" w:hAnsi="Times New Roman" w:cs="Times New Roman"/>
          <w:sz w:val="24"/>
          <w:szCs w:val="24"/>
        </w:rPr>
        <w:t>brand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selfies</w:t>
      </w:r>
      <w:proofErr w:type="spellEnd"/>
      <w:r>
        <w:rPr>
          <w:rFonts w:ascii="Times New Roman" w:eastAsia="Times New Roman" w:hAnsi="Times New Roman" w:cs="Times New Roman"/>
          <w:sz w:val="24"/>
          <w:szCs w:val="24"/>
        </w:rPr>
        <w:t>" generan más compromiso y compra que las "</w:t>
      </w:r>
      <w:proofErr w:type="spellStart"/>
      <w:r>
        <w:rPr>
          <w:rFonts w:ascii="Times New Roman" w:eastAsia="Times New Roman" w:hAnsi="Times New Roman" w:cs="Times New Roman"/>
          <w:sz w:val="24"/>
          <w:szCs w:val="24"/>
        </w:rPr>
        <w:t>consumer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selfies</w:t>
      </w:r>
      <w:proofErr w:type="spellEnd"/>
      <w:r>
        <w:rPr>
          <w:rFonts w:ascii="Times New Roman" w:eastAsia="Times New Roman" w:hAnsi="Times New Roman" w:cs="Times New Roman"/>
          <w:sz w:val="24"/>
          <w:szCs w:val="24"/>
        </w:rPr>
        <w:t xml:space="preserve">". La escucha activa y empatía en las respuestas de las empresas pueden mitigar las emociones negativas de los clientes. Concluye que los medios sociales tienen un impacto importante en el marketing internacional y enfatiza la necesidad de entender la comunicación digital en el contexto minorista para comprender el comportamiento del consumidor. </w:t>
      </w:r>
    </w:p>
    <w:p w14:paraId="17C6665F" w14:textId="60E04FC8" w:rsidR="00D51211" w:rsidRPr="00D51211" w:rsidRDefault="00D51211" w:rsidP="00D51211">
      <w:pPr>
        <w:widowControl w:val="0"/>
        <w:spacing w:line="18pt"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Palabras claves: </w:t>
      </w:r>
      <w:r>
        <w:rPr>
          <w:rFonts w:ascii="Times New Roman" w:eastAsia="Times New Roman" w:hAnsi="Times New Roman" w:cs="Times New Roman"/>
          <w:sz w:val="24"/>
          <w:szCs w:val="24"/>
        </w:rPr>
        <w:t xml:space="preserve">Marketing digital, redes sociales, compromiso del consumidor, interactividad, </w:t>
      </w:r>
      <w:proofErr w:type="spellStart"/>
      <w:r w:rsidRPr="00C3440D">
        <w:rPr>
          <w:rFonts w:ascii="Times New Roman" w:eastAsia="Times New Roman" w:hAnsi="Times New Roman" w:cs="Times New Roman"/>
          <w:i/>
          <w:iCs/>
          <w:sz w:val="24"/>
          <w:szCs w:val="24"/>
        </w:rPr>
        <w:t>influencers</w:t>
      </w:r>
      <w:proofErr w:type="spellEnd"/>
      <w:r>
        <w:rPr>
          <w:rFonts w:ascii="Times New Roman" w:eastAsia="Times New Roman" w:hAnsi="Times New Roman" w:cs="Times New Roman"/>
          <w:sz w:val="24"/>
          <w:szCs w:val="24"/>
        </w:rPr>
        <w:t>.</w:t>
      </w:r>
    </w:p>
    <w:bookmarkEnd w:id="3"/>
    <w:p w14:paraId="31F48680" w14:textId="77777777" w:rsidR="009D2A3E" w:rsidRPr="00D94F47" w:rsidRDefault="009D2A3E" w:rsidP="00CC0AD9">
      <w:pPr>
        <w:spacing w:after="0pt" w:line="12pt" w:lineRule="auto"/>
        <w:jc w:val="both"/>
        <w:rPr>
          <w:rFonts w:ascii="Goudy Old Style" w:hAnsi="Goudy Old Style"/>
          <w:color w:val="1F4E79" w:themeColor="accent5" w:themeShade="80"/>
          <w:sz w:val="24"/>
          <w:szCs w:val="24"/>
        </w:rPr>
      </w:pPr>
    </w:p>
    <w:p w14:paraId="2F2A61DA" w14:textId="77777777" w:rsidR="00D51211" w:rsidRPr="00D51211" w:rsidRDefault="00D51211" w:rsidP="00D51211">
      <w:pPr>
        <w:widowControl w:val="0"/>
        <w:spacing w:line="18pt" w:lineRule="auto"/>
        <w:ind w:end="-2pt"/>
        <w:rPr>
          <w:rFonts w:ascii="Times New Roman" w:eastAsia="Times New Roman" w:hAnsi="Times New Roman" w:cs="Times New Roman"/>
          <w:b/>
          <w:color w:val="2F5496" w:themeColor="accent1" w:themeShade="BF"/>
          <w:sz w:val="24"/>
          <w:szCs w:val="24"/>
          <w:lang w:val="en-US"/>
        </w:rPr>
      </w:pPr>
      <w:bookmarkStart w:id="4" w:name="_Hlk184634700"/>
      <w:r w:rsidRPr="00D51211">
        <w:rPr>
          <w:rFonts w:ascii="Times New Roman" w:eastAsia="Times New Roman" w:hAnsi="Times New Roman" w:cs="Times New Roman"/>
          <w:b/>
          <w:color w:val="2F5496" w:themeColor="accent1" w:themeShade="BF"/>
          <w:sz w:val="24"/>
          <w:szCs w:val="24"/>
          <w:lang w:val="en-US"/>
        </w:rPr>
        <w:t>Digital marketing on the effectiveness of social media strategies in America 2020-2024. A Systematic review</w:t>
      </w:r>
    </w:p>
    <w:bookmarkEnd w:id="4"/>
    <w:p w14:paraId="3DBE9749" w14:textId="77777777" w:rsidR="00C728A2" w:rsidRPr="00B47DE7" w:rsidRDefault="00C728A2" w:rsidP="00CC0AD9">
      <w:pPr>
        <w:spacing w:after="0pt" w:line="12pt" w:lineRule="auto"/>
        <w:jc w:val="both"/>
        <w:rPr>
          <w:rFonts w:ascii="Book Antiqua" w:hAnsi="Book Antiqua" w:cs="Times New Roman"/>
          <w:b/>
          <w:iCs/>
          <w:color w:val="068892"/>
          <w:lang w:val="en"/>
        </w:rPr>
      </w:pPr>
    </w:p>
    <w:p w14:paraId="6417A00F" w14:textId="76788EB3" w:rsidR="00EE7AB0" w:rsidRDefault="00EE7AB0" w:rsidP="00CC0AD9">
      <w:pPr>
        <w:spacing w:after="0pt" w:line="12pt" w:lineRule="auto"/>
        <w:jc w:val="both"/>
        <w:rPr>
          <w:rFonts w:ascii="Goudy Old Style" w:eastAsia="Times New Roman" w:hAnsi="Goudy Old Style" w:cs="Times New Roman"/>
          <w:b/>
          <w:bCs/>
          <w:color w:val="00B050"/>
          <w:sz w:val="24"/>
          <w:szCs w:val="24"/>
          <w:lang w:val="en-US" w:eastAsia="pt-BR"/>
        </w:rPr>
      </w:pPr>
      <w:r w:rsidRPr="00EF7EFD">
        <w:rPr>
          <w:rFonts w:ascii="Goudy Old Style" w:eastAsia="Times New Roman" w:hAnsi="Goudy Old Style" w:cs="Times New Roman"/>
          <w:b/>
          <w:bCs/>
          <w:color w:val="00B050"/>
          <w:sz w:val="24"/>
          <w:szCs w:val="24"/>
          <w:lang w:val="en-US" w:eastAsia="pt-BR"/>
        </w:rPr>
        <w:t>Abstract</w:t>
      </w:r>
    </w:p>
    <w:p w14:paraId="5538645C" w14:textId="77777777" w:rsidR="00790F12" w:rsidRPr="00EF7EFD" w:rsidRDefault="00790F12" w:rsidP="00CC0AD9">
      <w:pPr>
        <w:spacing w:after="0pt" w:line="12pt" w:lineRule="auto"/>
        <w:jc w:val="both"/>
        <w:rPr>
          <w:rFonts w:ascii="Goudy Old Style" w:eastAsia="Times New Roman" w:hAnsi="Goudy Old Style" w:cs="Times New Roman"/>
          <w:color w:val="00B050"/>
          <w:sz w:val="24"/>
          <w:szCs w:val="24"/>
          <w:lang w:val="en-US" w:eastAsia="pt-BR"/>
        </w:rPr>
      </w:pPr>
    </w:p>
    <w:p w14:paraId="6AA41AE4" w14:textId="77777777" w:rsidR="00D51211" w:rsidRPr="00D51211" w:rsidRDefault="00D51211" w:rsidP="00D51211">
      <w:pPr>
        <w:spacing w:line="12pt" w:lineRule="auto"/>
        <w:jc w:val="both"/>
        <w:rPr>
          <w:rFonts w:ascii="Times New Roman" w:eastAsia="Times New Roman" w:hAnsi="Times New Roman" w:cs="Times New Roman"/>
          <w:b/>
          <w:i/>
          <w:lang w:val="en-US"/>
        </w:rPr>
      </w:pPr>
      <w:bookmarkStart w:id="5" w:name="_Hlk184634728"/>
      <w:bookmarkEnd w:id="1"/>
      <w:r w:rsidRPr="00D51211">
        <w:rPr>
          <w:rFonts w:ascii="Times New Roman" w:eastAsia="Times New Roman" w:hAnsi="Times New Roman" w:cs="Times New Roman"/>
          <w:lang w:val="en-US"/>
        </w:rPr>
        <w:t>This study examines the effect of digital marketing on the effectiveness of social media strategies in the Americas between 2020 and 2024. It uses a methodology based on a review of scientific literature from Scopus and Web of Science to identify trends and changes in this impact. Selects and analyzes 21 relevant articles on the topic using the Prism Statement method. Suggests that media planning should focus on promoting engagement through meaningful interactions with consumers. Highlights the importance of measurement and ethical considerations in digital advertising. Finds that brand selfies generate more engagement and purchase than consumer selfies. Active listening and empathy in company responses can mitigate negative customer emotions. He concludes that social media has an important impact on international marketing and emphasizes the need to understand digital communication in the retail context to understand consumer behavior.</w:t>
      </w:r>
    </w:p>
    <w:p w14:paraId="41F96076" w14:textId="395465C8" w:rsidR="00D51211" w:rsidRPr="00D51211" w:rsidRDefault="00D51211" w:rsidP="00D51211">
      <w:pPr>
        <w:spacing w:line="12pt" w:lineRule="auto"/>
        <w:jc w:val="both"/>
        <w:rPr>
          <w:rFonts w:ascii="Times New Roman" w:eastAsia="Times New Roman" w:hAnsi="Times New Roman" w:cs="Times New Roman"/>
          <w:b/>
          <w:lang w:val="en-US"/>
        </w:rPr>
      </w:pPr>
      <w:r w:rsidRPr="00D51211">
        <w:rPr>
          <w:rFonts w:ascii="Times New Roman" w:eastAsia="Times New Roman" w:hAnsi="Times New Roman" w:cs="Times New Roman"/>
          <w:b/>
          <w:i/>
          <w:lang w:val="en-US"/>
        </w:rPr>
        <w:t>Keywords:</w:t>
      </w:r>
      <w:r>
        <w:rPr>
          <w:rFonts w:ascii="Times New Roman" w:eastAsia="Times New Roman" w:hAnsi="Times New Roman" w:cs="Times New Roman"/>
          <w:b/>
          <w:lang w:val="en-US"/>
        </w:rPr>
        <w:t xml:space="preserve"> </w:t>
      </w:r>
      <w:r w:rsidRPr="00D51211">
        <w:rPr>
          <w:rFonts w:ascii="Times New Roman" w:eastAsia="Times New Roman" w:hAnsi="Times New Roman" w:cs="Times New Roman"/>
          <w:lang w:val="en-US"/>
        </w:rPr>
        <w:t xml:space="preserve">Digital marketing, social media, Consumer engagement, interactivity, </w:t>
      </w:r>
      <w:r w:rsidRPr="00D51211">
        <w:rPr>
          <w:rFonts w:ascii="Times New Roman" w:eastAsia="Times New Roman" w:hAnsi="Times New Roman" w:cs="Times New Roman"/>
          <w:i/>
          <w:iCs/>
          <w:lang w:val="en-US"/>
        </w:rPr>
        <w:t>influencers</w:t>
      </w:r>
      <w:r w:rsidRPr="00AF2E30">
        <w:rPr>
          <w:rFonts w:ascii="Times New Roman" w:eastAsia="Times New Roman" w:hAnsi="Times New Roman" w:cs="Times New Roman"/>
          <w:sz w:val="24"/>
          <w:szCs w:val="24"/>
          <w:lang w:val="en-US"/>
        </w:rPr>
        <w:t>.</w:t>
      </w:r>
    </w:p>
    <w:bookmarkEnd w:id="5"/>
    <w:p w14:paraId="16F65C1F" w14:textId="77777777" w:rsidR="00D51211" w:rsidRDefault="00D51211" w:rsidP="00D51211">
      <w:pPr>
        <w:widowControl w:val="0"/>
        <w:spacing w:line="18pt" w:lineRule="auto"/>
        <w:rPr>
          <w:rFonts w:ascii="Times New Roman" w:eastAsia="Times New Roman" w:hAnsi="Times New Roman" w:cs="Times New Roman"/>
          <w:b/>
          <w:sz w:val="24"/>
          <w:szCs w:val="24"/>
          <w:lang w:val="en-US"/>
        </w:rPr>
      </w:pPr>
    </w:p>
    <w:p w14:paraId="2DE343CD" w14:textId="77777777" w:rsidR="00D51211" w:rsidRPr="00AF2E30" w:rsidRDefault="00D51211" w:rsidP="00D51211">
      <w:pPr>
        <w:widowControl w:val="0"/>
        <w:spacing w:line="18pt" w:lineRule="auto"/>
        <w:rPr>
          <w:rFonts w:ascii="Times New Roman" w:eastAsia="Times New Roman" w:hAnsi="Times New Roman" w:cs="Times New Roman"/>
          <w:b/>
          <w:sz w:val="24"/>
          <w:szCs w:val="24"/>
          <w:lang w:val="en-US"/>
        </w:rPr>
      </w:pPr>
    </w:p>
    <w:p w14:paraId="38D09636" w14:textId="720C6F27" w:rsidR="002E007B" w:rsidRDefault="00B50015" w:rsidP="00CC0AD9">
      <w:pPr>
        <w:spacing w:after="6pt" w:line="18pt" w:lineRule="auto"/>
        <w:jc w:val="center"/>
        <w:rPr>
          <w:rFonts w:ascii="Palatino Linotype" w:hAnsi="Palatino Linotype" w:cs="Arial"/>
          <w:b/>
          <w:bCs/>
          <w:color w:val="00B050"/>
        </w:rPr>
      </w:pPr>
      <w:r w:rsidRPr="007C57C4">
        <w:rPr>
          <w:rFonts w:ascii="Palatino Linotype" w:hAnsi="Palatino Linotype" w:cs="Arial"/>
          <w:b/>
          <w:bCs/>
          <w:color w:val="00B050"/>
        </w:rPr>
        <w:lastRenderedPageBreak/>
        <w:t>INTRODUCCIÓN</w:t>
      </w:r>
    </w:p>
    <w:p w14:paraId="1EC30AE8" w14:textId="67908870" w:rsidR="00D51211" w:rsidRDefault="00D51211" w:rsidP="00E023C8">
      <w:pPr>
        <w:spacing w:line="18pt" w:lineRule="auto"/>
        <w:ind w:firstLine="28.30pt"/>
        <w:jc w:val="both"/>
        <w:rPr>
          <w:rFonts w:ascii="Times New Roman" w:eastAsia="Times New Roman" w:hAnsi="Times New Roman" w:cs="Times New Roman"/>
          <w:sz w:val="24"/>
          <w:szCs w:val="24"/>
        </w:rPr>
      </w:pPr>
      <w:bookmarkStart w:id="6" w:name="_Hlk184634767"/>
      <w:r>
        <w:rPr>
          <w:rFonts w:ascii="Times New Roman" w:eastAsia="Times New Roman" w:hAnsi="Times New Roman" w:cs="Times New Roman"/>
          <w:sz w:val="24"/>
          <w:szCs w:val="24"/>
        </w:rPr>
        <w:t>El uso generalizado de Internet, las redes sociales y otras tecnologías digitales ha tenido un impacto significativo en la vida cotidiana y en el ámbito empresarial a nivel global. Estadísticas recientes indican que un porcentaje considerable de la población mundial se encuentra activamente conectada a la red, con un número cada vez mayor de usuarios participando en plataformas de redes sociales (</w:t>
      </w:r>
      <w:proofErr w:type="spellStart"/>
      <w:r>
        <w:rPr>
          <w:rFonts w:ascii="Times New Roman" w:eastAsia="Times New Roman" w:hAnsi="Times New Roman" w:cs="Times New Roman"/>
          <w:sz w:val="24"/>
          <w:szCs w:val="24"/>
        </w:rPr>
        <w:t>Dwivedi</w:t>
      </w:r>
      <w:proofErr w:type="spellEnd"/>
      <w:r>
        <w:rPr>
          <w:rFonts w:ascii="Times New Roman" w:eastAsia="Times New Roman" w:hAnsi="Times New Roman" w:cs="Times New Roman"/>
          <w:sz w:val="24"/>
          <w:szCs w:val="24"/>
        </w:rPr>
        <w:t xml:space="preserve"> et al.,2021). </w:t>
      </w:r>
    </w:p>
    <w:p w14:paraId="22EF9C65" w14:textId="2ECF2401" w:rsidR="00D51211" w:rsidRDefault="00D51211" w:rsidP="00E023C8">
      <w:pPr>
        <w:spacing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tendencia ha llevado a un cambio notable en las prácticas de marketing, donde las empresas han encontrado en el marketing digital y las estrategias de redes sociales una vía efectiva para alcanzar sus objetivos de promoción y comunicación con los consumidores (</w:t>
      </w:r>
      <w:proofErr w:type="spellStart"/>
      <w:r>
        <w:rPr>
          <w:rFonts w:ascii="Times New Roman" w:eastAsia="Times New Roman" w:hAnsi="Times New Roman" w:cs="Times New Roman"/>
          <w:sz w:val="24"/>
          <w:szCs w:val="24"/>
        </w:rPr>
        <w:t>Chaker</w:t>
      </w:r>
      <w:proofErr w:type="spellEnd"/>
      <w:r>
        <w:rPr>
          <w:rFonts w:ascii="Times New Roman" w:eastAsia="Times New Roman" w:hAnsi="Times New Roman" w:cs="Times New Roman"/>
          <w:sz w:val="24"/>
          <w:szCs w:val="24"/>
        </w:rPr>
        <w:t xml:space="preserve"> et al.,2022). Además del ámbito empresarial, las tecnologías digitales y las redes sociales han sido utilizadas para propósitos diversos, incluyendo la sensibilización sobre temas de interés público y la promoción de campañas políticas. La influencia de estas herramientas en el comportamiento del consumidor se ha vuelto cada vez más evidente, con individuos dedicando una parte significativa de su tiempo en línea buscando información, productos y servicios, así como interactuando con otras personas y organizaciones (Bryant et al.,2023). Esta evolución en el panorama digital ha llevado a las empresas a integrar las estrategias de marketing digital y de redes sociales como componentes esenciales en sus planes de marketing. Reconociendo la importancia de la presencia en línea y la interacción con los consumidores, las organizaciones han adaptado sus enfoques para aprovechar las oportunidades que brindan estas plataformas en constante evolución (</w:t>
      </w:r>
      <w:proofErr w:type="spellStart"/>
      <w:r>
        <w:rPr>
          <w:rFonts w:ascii="Times New Roman" w:eastAsia="Times New Roman" w:hAnsi="Times New Roman" w:cs="Times New Roman"/>
          <w:sz w:val="24"/>
          <w:szCs w:val="24"/>
        </w:rPr>
        <w:t>Krishen</w:t>
      </w:r>
      <w:proofErr w:type="spellEnd"/>
      <w:r>
        <w:rPr>
          <w:rFonts w:ascii="Times New Roman" w:eastAsia="Times New Roman" w:hAnsi="Times New Roman" w:cs="Times New Roman"/>
          <w:sz w:val="24"/>
          <w:szCs w:val="24"/>
        </w:rPr>
        <w:t xml:space="preserve"> et al.,2021).</w:t>
      </w:r>
    </w:p>
    <w:p w14:paraId="5D4F932D" w14:textId="77777777" w:rsidR="00D51211" w:rsidRDefault="00D51211" w:rsidP="00D51211">
      <w:pPr>
        <w:widowControl w:val="0"/>
        <w:spacing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era digital actual, el marketing ha experimentado una gran transformación y evolución, especialmente con el incremento del uso de las redes sociales y el marketing digital. Estas plataformas han revolucionado la forma en que las empresas interactúan con sus clientes y han abierto nuevas oportunidades para el </w:t>
      </w:r>
      <w:proofErr w:type="spellStart"/>
      <w:r>
        <w:rPr>
          <w:rFonts w:ascii="Times New Roman" w:eastAsia="Times New Roman" w:hAnsi="Times New Roman" w:cs="Times New Roman"/>
          <w:sz w:val="24"/>
          <w:szCs w:val="24"/>
        </w:rPr>
        <w:t>engagement</w:t>
      </w:r>
      <w:proofErr w:type="spellEnd"/>
      <w:r>
        <w:rPr>
          <w:rFonts w:ascii="Times New Roman" w:eastAsia="Times New Roman" w:hAnsi="Times New Roman" w:cs="Times New Roman"/>
          <w:sz w:val="24"/>
          <w:szCs w:val="24"/>
        </w:rPr>
        <w:t xml:space="preserve"> y la promoción de productos y servicios. En este contexto, el presente estudio se enfoca en analizar el impacto del marketing digital en la efectividad de las estrategias de redes sociales, explorando cómo estas herramientas han transformado la interacción entre empresas y </w:t>
      </w:r>
      <w:r>
        <w:rPr>
          <w:rFonts w:ascii="Times New Roman" w:eastAsia="Times New Roman" w:hAnsi="Times New Roman" w:cs="Times New Roman"/>
          <w:sz w:val="24"/>
          <w:szCs w:val="24"/>
        </w:rPr>
        <w:lastRenderedPageBreak/>
        <w:t xml:space="preserve">consumidores. En primer lugar, la investigación de </w:t>
      </w:r>
      <w:proofErr w:type="spellStart"/>
      <w:r>
        <w:rPr>
          <w:rFonts w:ascii="Times New Roman" w:eastAsia="Times New Roman" w:hAnsi="Times New Roman" w:cs="Times New Roman"/>
          <w:sz w:val="24"/>
          <w:szCs w:val="24"/>
        </w:rPr>
        <w:t>Appel</w:t>
      </w:r>
      <w:proofErr w:type="spellEnd"/>
      <w:r>
        <w:rPr>
          <w:rFonts w:ascii="Times New Roman" w:eastAsia="Times New Roman" w:hAnsi="Times New Roman" w:cs="Times New Roman"/>
          <w:sz w:val="24"/>
          <w:szCs w:val="24"/>
        </w:rPr>
        <w:t xml:space="preserve"> et al. (2020) señala que el futuro de las redes sociales en el marketing está influenciado por factores como el comportamiento del consumidor y las tendencias emergentes en las redes sociales. Por su parte, </w:t>
      </w:r>
      <w:proofErr w:type="spellStart"/>
      <w:r>
        <w:rPr>
          <w:rFonts w:ascii="Times New Roman" w:eastAsia="Times New Roman" w:hAnsi="Times New Roman" w:cs="Times New Roman"/>
          <w:sz w:val="24"/>
          <w:szCs w:val="24"/>
        </w:rPr>
        <w:t>Dwivedi</w:t>
      </w:r>
      <w:proofErr w:type="spellEnd"/>
      <w:r>
        <w:rPr>
          <w:rFonts w:ascii="Times New Roman" w:eastAsia="Times New Roman" w:hAnsi="Times New Roman" w:cs="Times New Roman"/>
          <w:sz w:val="24"/>
          <w:szCs w:val="24"/>
        </w:rPr>
        <w:t xml:space="preserve"> et al. (2021) analizan cómo el marketing digital y las redes sociales han transformado la interacción entre empresas y consumidores, identificando beneficios y desafíos asociados. Del mismo modo, </w:t>
      </w:r>
      <w:proofErr w:type="spellStart"/>
      <w:r>
        <w:rPr>
          <w:rFonts w:ascii="Times New Roman" w:eastAsia="Times New Roman" w:hAnsi="Times New Roman" w:cs="Times New Roman"/>
          <w:sz w:val="24"/>
          <w:szCs w:val="24"/>
        </w:rPr>
        <w:t>Izogo</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Mpinganjira</w:t>
      </w:r>
      <w:proofErr w:type="spellEnd"/>
      <w:r>
        <w:rPr>
          <w:rFonts w:ascii="Times New Roman" w:eastAsia="Times New Roman" w:hAnsi="Times New Roman" w:cs="Times New Roman"/>
          <w:sz w:val="24"/>
          <w:szCs w:val="24"/>
        </w:rPr>
        <w:t xml:space="preserve"> (2024) investigan los motivos del consumo de marketing de contenidos digitales en la era de las redes sociales, centrándose en los resultados relacionales y monetarios. Por otro lado, </w:t>
      </w:r>
      <w:proofErr w:type="spellStart"/>
      <w:r>
        <w:rPr>
          <w:rFonts w:ascii="Times New Roman" w:eastAsia="Times New Roman" w:hAnsi="Times New Roman" w:cs="Times New Roman"/>
          <w:sz w:val="24"/>
          <w:szCs w:val="24"/>
        </w:rPr>
        <w:t>Adwan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Altrjman</w:t>
      </w:r>
      <w:proofErr w:type="spellEnd"/>
      <w:r>
        <w:rPr>
          <w:rFonts w:ascii="Times New Roman" w:eastAsia="Times New Roman" w:hAnsi="Times New Roman" w:cs="Times New Roman"/>
          <w:sz w:val="24"/>
          <w:szCs w:val="24"/>
        </w:rPr>
        <w:t xml:space="preserve"> (2024) examinan el papel del marketing social en la gestión y promoción de estrategias de sostenibilidad de </w:t>
      </w:r>
      <w:proofErr w:type="spellStart"/>
      <w:r>
        <w:rPr>
          <w:rFonts w:ascii="Times New Roman" w:eastAsia="Times New Roman" w:hAnsi="Times New Roman" w:cs="Times New Roman"/>
          <w:sz w:val="24"/>
          <w:szCs w:val="24"/>
        </w:rPr>
        <w:t>marca.Asimismo</w:t>
      </w:r>
      <w:proofErr w:type="spellEnd"/>
      <w:r>
        <w:rPr>
          <w:rFonts w:ascii="Times New Roman" w:eastAsia="Times New Roman" w:hAnsi="Times New Roman" w:cs="Times New Roman"/>
          <w:sz w:val="24"/>
          <w:szCs w:val="24"/>
        </w:rPr>
        <w:t xml:space="preserve">, Morgan et al. (2022) resaltan la importancia de la evaluación del rendimiento en marketing y proponen un nuevo modelo conceptual para abordarlo. Además, </w:t>
      </w:r>
      <w:proofErr w:type="spellStart"/>
      <w:r>
        <w:rPr>
          <w:rFonts w:ascii="Times New Roman" w:eastAsia="Times New Roman" w:hAnsi="Times New Roman" w:cs="Times New Roman"/>
          <w:sz w:val="24"/>
          <w:szCs w:val="24"/>
        </w:rPr>
        <w:t>Schweidel</w:t>
      </w:r>
      <w:proofErr w:type="spellEnd"/>
      <w:r>
        <w:rPr>
          <w:rFonts w:ascii="Times New Roman" w:eastAsia="Times New Roman" w:hAnsi="Times New Roman" w:cs="Times New Roman"/>
          <w:sz w:val="24"/>
          <w:szCs w:val="24"/>
        </w:rPr>
        <w:t xml:space="preserve"> et al. (2022) discuten cómo las señales digitales de los consumidores están cambiando el viaje del cliente y cómo los profesionales del marketing pueden aprovechar estas señales para obtener ventajas competitivas. La evolución de las tendencias de investigación en marketing digital se ha analizado, identificando a los principales autores, coautores y temas relacionados con el marketing digital interactivo. Estos hallazgos ofrecen información valiosa para investigadores y profesionales en el campo del marketing digital (</w:t>
      </w:r>
      <w:proofErr w:type="spellStart"/>
      <w:r>
        <w:rPr>
          <w:rFonts w:ascii="Times New Roman" w:eastAsia="Times New Roman" w:hAnsi="Times New Roman" w:cs="Times New Roman"/>
          <w:sz w:val="24"/>
          <w:szCs w:val="24"/>
        </w:rPr>
        <w:t>Anjala</w:t>
      </w:r>
      <w:proofErr w:type="spellEnd"/>
      <w:r>
        <w:rPr>
          <w:rFonts w:ascii="Times New Roman" w:eastAsia="Times New Roman" w:hAnsi="Times New Roman" w:cs="Times New Roman"/>
          <w:sz w:val="24"/>
          <w:szCs w:val="24"/>
        </w:rPr>
        <w:t xml:space="preserve"> et al., 2021).</w:t>
      </w:r>
    </w:p>
    <w:p w14:paraId="50CDFFEF" w14:textId="77777777" w:rsidR="00D51211" w:rsidRDefault="00D51211" w:rsidP="00D51211">
      <w:pPr>
        <w:widowControl w:val="0"/>
        <w:spacing w:line="18pt" w:lineRule="auto"/>
        <w:ind w:firstLine="28.30pt"/>
        <w:jc w:val="both"/>
        <w:rPr>
          <w:rFonts w:ascii="Times New Roman" w:eastAsia="Times New Roman" w:hAnsi="Times New Roman" w:cs="Times New Roman"/>
          <w:sz w:val="24"/>
          <w:szCs w:val="24"/>
        </w:rPr>
      </w:pPr>
    </w:p>
    <w:p w14:paraId="09E064D2" w14:textId="77777777" w:rsidR="00D51211" w:rsidRDefault="00D51211" w:rsidP="00D51211">
      <w:pPr>
        <w:widowControl w:val="0"/>
        <w:spacing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la comunicación digital en el contexto minorista es fundamental para comprender el comportamiento del consumidor y el desarrollo del mercado. En este sentido, es necesario investigar y comprender las propiedades dinámicas de la comunicación, así como las diferentes modalidades de comunicación, para obtener perspectivas tanto sobre los consumidores como sobre los mercados (</w:t>
      </w:r>
      <w:proofErr w:type="spellStart"/>
      <w:r>
        <w:rPr>
          <w:rFonts w:ascii="Times New Roman" w:eastAsia="Times New Roman" w:hAnsi="Times New Roman" w:cs="Times New Roman"/>
          <w:sz w:val="24"/>
          <w:szCs w:val="24"/>
        </w:rPr>
        <w:t>Dhruv</w:t>
      </w:r>
      <w:proofErr w:type="spellEnd"/>
      <w:r>
        <w:rPr>
          <w:rFonts w:ascii="Times New Roman" w:eastAsia="Times New Roman" w:hAnsi="Times New Roman" w:cs="Times New Roman"/>
          <w:sz w:val="24"/>
          <w:szCs w:val="24"/>
        </w:rPr>
        <w:t xml:space="preserve"> et al., 2022). Asimismo, la presencia digital de empleados en los sitios web de servicios puede influir en las percepciones de los clientes, la lealtad y el rendimiento empresarial (</w:t>
      </w:r>
      <w:proofErr w:type="spellStart"/>
      <w:r>
        <w:rPr>
          <w:rFonts w:ascii="Times New Roman" w:eastAsia="Times New Roman" w:hAnsi="Times New Roman" w:cs="Times New Roman"/>
          <w:sz w:val="24"/>
          <w:szCs w:val="24"/>
        </w:rPr>
        <w:t>Herhausen</w:t>
      </w:r>
      <w:proofErr w:type="spellEnd"/>
      <w:r>
        <w:rPr>
          <w:rFonts w:ascii="Times New Roman" w:eastAsia="Times New Roman" w:hAnsi="Times New Roman" w:cs="Times New Roman"/>
          <w:sz w:val="24"/>
          <w:szCs w:val="24"/>
        </w:rPr>
        <w:t xml:space="preserve"> et al., 2020).</w:t>
      </w:r>
    </w:p>
    <w:p w14:paraId="64671EB2" w14:textId="77777777" w:rsidR="00E023C8" w:rsidRDefault="00E023C8" w:rsidP="00D51211">
      <w:pPr>
        <w:widowControl w:val="0"/>
        <w:spacing w:line="18pt" w:lineRule="auto"/>
        <w:ind w:firstLine="28.30pt"/>
        <w:jc w:val="both"/>
        <w:rPr>
          <w:rFonts w:ascii="Times New Roman" w:eastAsia="Times New Roman" w:hAnsi="Times New Roman" w:cs="Times New Roman"/>
          <w:sz w:val="24"/>
          <w:szCs w:val="24"/>
        </w:rPr>
      </w:pPr>
    </w:p>
    <w:p w14:paraId="00887C79" w14:textId="77777777" w:rsidR="00D51211" w:rsidRDefault="00D51211" w:rsidP="00D51211">
      <w:pPr>
        <w:widowControl w:val="0"/>
        <w:spacing w:line="18pt" w:lineRule="auto"/>
        <w:ind w:firstLine="28.30pt"/>
        <w:jc w:val="both"/>
        <w:rPr>
          <w:rFonts w:ascii="Times New Roman" w:eastAsia="Times New Roman" w:hAnsi="Times New Roman" w:cs="Times New Roman"/>
          <w:sz w:val="24"/>
          <w:szCs w:val="24"/>
        </w:rPr>
      </w:pPr>
    </w:p>
    <w:p w14:paraId="0F1BD992" w14:textId="77777777" w:rsidR="00D51211" w:rsidRDefault="00D51211" w:rsidP="00D51211">
      <w:pPr>
        <w:widowControl w:val="0"/>
        <w:spacing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igual manera, el marketing de educación superior destaca la importancia de la </w:t>
      </w:r>
      <w:r>
        <w:rPr>
          <w:rFonts w:ascii="Times New Roman" w:eastAsia="Times New Roman" w:hAnsi="Times New Roman" w:cs="Times New Roman"/>
          <w:sz w:val="24"/>
          <w:szCs w:val="24"/>
        </w:rPr>
        <w:lastRenderedPageBreak/>
        <w:t xml:space="preserve">calidad de la relación en la participación de los </w:t>
      </w:r>
      <w:proofErr w:type="spellStart"/>
      <w:r>
        <w:rPr>
          <w:rFonts w:ascii="Times New Roman" w:eastAsia="Times New Roman" w:hAnsi="Times New Roman" w:cs="Times New Roman"/>
          <w:sz w:val="24"/>
          <w:szCs w:val="24"/>
        </w:rPr>
        <w:t>stakeholders</w:t>
      </w:r>
      <w:proofErr w:type="spellEnd"/>
      <w:r>
        <w:rPr>
          <w:rFonts w:ascii="Times New Roman" w:eastAsia="Times New Roman" w:hAnsi="Times New Roman" w:cs="Times New Roman"/>
          <w:sz w:val="24"/>
          <w:szCs w:val="24"/>
        </w:rPr>
        <w:t xml:space="preserve"> y la </w:t>
      </w:r>
      <w:proofErr w:type="spellStart"/>
      <w:r>
        <w:rPr>
          <w:rFonts w:ascii="Times New Roman" w:eastAsia="Times New Roman" w:hAnsi="Times New Roman" w:cs="Times New Roman"/>
          <w:sz w:val="24"/>
          <w:szCs w:val="24"/>
        </w:rPr>
        <w:t>co-creación</w:t>
      </w:r>
      <w:proofErr w:type="spellEnd"/>
      <w:r>
        <w:rPr>
          <w:rFonts w:ascii="Times New Roman" w:eastAsia="Times New Roman" w:hAnsi="Times New Roman" w:cs="Times New Roman"/>
          <w:sz w:val="24"/>
          <w:szCs w:val="24"/>
        </w:rPr>
        <w:t xml:space="preserve"> de valor con las universidades (</w:t>
      </w:r>
      <w:proofErr w:type="spellStart"/>
      <w:r>
        <w:rPr>
          <w:rFonts w:ascii="Times New Roman" w:eastAsia="Times New Roman" w:hAnsi="Times New Roman" w:cs="Times New Roman"/>
          <w:sz w:val="24"/>
          <w:szCs w:val="24"/>
        </w:rPr>
        <w:t>Varsha</w:t>
      </w:r>
      <w:proofErr w:type="spellEnd"/>
      <w:r>
        <w:rPr>
          <w:rFonts w:ascii="Times New Roman" w:eastAsia="Times New Roman" w:hAnsi="Times New Roman" w:cs="Times New Roman"/>
          <w:sz w:val="24"/>
          <w:szCs w:val="24"/>
        </w:rPr>
        <w:t xml:space="preserve"> et al., 2022). Además, la diversidad en los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virtuales puede mejorar las actitudes y comportamientos de los consumidores hacia los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y las marcas asociadas (Ferraro et al., 2024). También, Instagram impacta en el comportamiento de compra de los consumidores jóvenes, y factores como la confianza y la influencia de contenido afectan sus decisiones (Lewis Hood, S., 2021). En cuanto a la evolución de la planificación de medios, se observa una tendencia hacia la promoción del compromiso a través de interacciones significativas y sostenibles con los consumidores. Por ejemplo, las "</w:t>
      </w:r>
      <w:proofErr w:type="spellStart"/>
      <w:r>
        <w:rPr>
          <w:rFonts w:ascii="Times New Roman" w:eastAsia="Times New Roman" w:hAnsi="Times New Roman" w:cs="Times New Roman"/>
          <w:sz w:val="24"/>
          <w:szCs w:val="24"/>
        </w:rPr>
        <w:t>brand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selfies</w:t>
      </w:r>
      <w:proofErr w:type="spellEnd"/>
      <w:r>
        <w:rPr>
          <w:rFonts w:ascii="Times New Roman" w:eastAsia="Times New Roman" w:hAnsi="Times New Roman" w:cs="Times New Roman"/>
          <w:sz w:val="24"/>
          <w:szCs w:val="24"/>
        </w:rPr>
        <w:t>" generan mayor intención de compra y compromiso con la marca en comparación con "</w:t>
      </w:r>
      <w:proofErr w:type="spellStart"/>
      <w:r>
        <w:rPr>
          <w:rFonts w:ascii="Times New Roman" w:eastAsia="Times New Roman" w:hAnsi="Times New Roman" w:cs="Times New Roman"/>
          <w:sz w:val="24"/>
          <w:szCs w:val="24"/>
        </w:rPr>
        <w:t>consumer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selfies</w:t>
      </w:r>
      <w:proofErr w:type="spellEnd"/>
      <w:r>
        <w:rPr>
          <w:rFonts w:ascii="Times New Roman" w:eastAsia="Times New Roman" w:hAnsi="Times New Roman" w:cs="Times New Roman"/>
          <w:sz w:val="24"/>
          <w:szCs w:val="24"/>
        </w:rPr>
        <w:t xml:space="preserve">" (Jochen et al., 2021). La escucha activa y la empatía en las respuestas de las empresas pueden </w:t>
      </w:r>
      <w:proofErr w:type="spellStart"/>
      <w:r>
        <w:rPr>
          <w:rFonts w:ascii="Times New Roman" w:eastAsia="Times New Roman" w:hAnsi="Times New Roman" w:cs="Times New Roman"/>
          <w:sz w:val="24"/>
          <w:szCs w:val="24"/>
        </w:rPr>
        <w:t>desescalar</w:t>
      </w:r>
      <w:proofErr w:type="spellEnd"/>
      <w:r>
        <w:rPr>
          <w:rFonts w:ascii="Times New Roman" w:eastAsia="Times New Roman" w:hAnsi="Times New Roman" w:cs="Times New Roman"/>
          <w:sz w:val="24"/>
          <w:szCs w:val="24"/>
        </w:rPr>
        <w:t xml:space="preserve"> las emociones negativas de alta excitación de los clientes, aumentando la probabilidad de que los clientes sientan gratitud (</w:t>
      </w:r>
      <w:proofErr w:type="spellStart"/>
      <w:r>
        <w:rPr>
          <w:rFonts w:ascii="Times New Roman" w:eastAsia="Times New Roman" w:hAnsi="Times New Roman" w:cs="Times New Roman"/>
          <w:sz w:val="24"/>
          <w:szCs w:val="24"/>
        </w:rPr>
        <w:t>Herhausen</w:t>
      </w:r>
      <w:proofErr w:type="spellEnd"/>
      <w:r>
        <w:rPr>
          <w:rFonts w:ascii="Times New Roman" w:eastAsia="Times New Roman" w:hAnsi="Times New Roman" w:cs="Times New Roman"/>
          <w:sz w:val="24"/>
          <w:szCs w:val="24"/>
        </w:rPr>
        <w:t xml:space="preserve"> et al., 2022). Además, las señales de interactividad y la riqueza de los medios aumentan significativamente el compromiso del consumidor con la marca (Moran et al., 2020).</w:t>
      </w:r>
    </w:p>
    <w:p w14:paraId="3A765E94" w14:textId="77777777" w:rsidR="00D51211" w:rsidRDefault="00D51211" w:rsidP="00D51211">
      <w:pPr>
        <w:widowControl w:val="0"/>
        <w:spacing w:line="18pt" w:lineRule="auto"/>
        <w:ind w:firstLine="28.30pt"/>
        <w:jc w:val="both"/>
        <w:rPr>
          <w:rFonts w:ascii="Times New Roman" w:eastAsia="Times New Roman" w:hAnsi="Times New Roman" w:cs="Times New Roman"/>
          <w:sz w:val="24"/>
          <w:szCs w:val="24"/>
        </w:rPr>
      </w:pPr>
    </w:p>
    <w:p w14:paraId="6A171D01" w14:textId="77777777" w:rsidR="00D51211" w:rsidRDefault="00D51211" w:rsidP="00D51211">
      <w:pPr>
        <w:widowControl w:val="0"/>
        <w:spacing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marketing digital ha transformado la manera en que las empresas interactúan con los clientes y se posicionan en el mercado. Ha democratizado la información y la conectividad, permitiendo a las empresas llegar a audiencias globales de manera más rápida y efectiva. Además, ha facilitado la personalización de mensajes y experiencias de usuario, mejorando la satisfacción del cliente y fortaleciendo las relaciones con las marcas. Dependiendo de sus objetivos y recursos, las empresas pueden adoptar diferentes estrategias de marketing digital, como la exploración para captar nuevos mercados o la optimización de costos para competir en precios. Asimismo, (Olson et al., 2020) señala que las redes sociales son herramientas clave para las empresas en el mundo actual. Ayudan a través de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marketing de contenidos, atención al cliente, investigación de mercado y generación de leads y ventas. Permiten conectar con los consumidores, influir en sus decisiones de compra y mejorar la interacción empresa-</w:t>
      </w:r>
      <w:proofErr w:type="spellStart"/>
      <w:r>
        <w:rPr>
          <w:rFonts w:ascii="Times New Roman" w:eastAsia="Times New Roman" w:hAnsi="Times New Roman" w:cs="Times New Roman"/>
          <w:sz w:val="24"/>
          <w:szCs w:val="24"/>
        </w:rPr>
        <w:lastRenderedPageBreak/>
        <w:t>cliente.Además</w:t>
      </w:r>
      <w:proofErr w:type="spellEnd"/>
      <w:r>
        <w:rPr>
          <w:rFonts w:ascii="Times New Roman" w:eastAsia="Times New Roman" w:hAnsi="Times New Roman" w:cs="Times New Roman"/>
          <w:sz w:val="24"/>
          <w:szCs w:val="24"/>
        </w:rPr>
        <w:t>, (Wu et al., 2022) señala que la definición del concepto es que las redes sociales son plataformas digitales que facilitan la interacción entre usuarios, permitiendo compartir contenido, conectarse con otros y participar en conversaciones. Son esenciales para la comunicación personal y profesional, así como para la promoción de marcas y la interacción con clientes.</w:t>
      </w:r>
    </w:p>
    <w:p w14:paraId="13C0B197" w14:textId="77777777" w:rsidR="00D51211" w:rsidRDefault="00D51211" w:rsidP="00D51211">
      <w:pPr>
        <w:widowControl w:val="0"/>
        <w:spacing w:line="18pt" w:lineRule="auto"/>
        <w:jc w:val="both"/>
        <w:rPr>
          <w:rFonts w:ascii="Times New Roman" w:eastAsia="Times New Roman" w:hAnsi="Times New Roman" w:cs="Times New Roman"/>
          <w:b/>
          <w:sz w:val="24"/>
          <w:szCs w:val="24"/>
        </w:rPr>
      </w:pPr>
    </w:p>
    <w:p w14:paraId="6269BBDB" w14:textId="17020E35" w:rsidR="00D51211" w:rsidRDefault="00D51211" w:rsidP="00D51211">
      <w:pPr>
        <w:widowControl w:val="0"/>
        <w:spacing w:line="18pt" w:lineRule="auto"/>
        <w:ind w:firstLine="28.30pt"/>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Investigar acerca de ello es importante porque el marketing digital ha experimentado un crecimiento significativo en los últimos años, convirtiéndose en una herramienta esencial para las empresas que desean alcanzar y captar a su audiencia en un entorno cada vez más digitalizado. Las redes sociales, en particular, han emergido como canales cruciales para la promoción de productos y servicios, la interacción con clientes potenciales y la construcción de una sólida presencia de marca. En base a ello, podemos decir que el impacto del marketing digital y las plataformas de redes sociales han transformado tanto el comportamiento de los consumidores como las estrategias comerciales de las empresas. Asimismo, el marketing en medios sociales y digitales presenta ventajas significativas para las organizaciones, incluyendo la reducción de costos, una mayor visibilidad de la marca y un aumento en las ventas (Hughes et al.,2021). Sin embargo, a pesar de la creciente adopción del marketing digital y el uso extensivo de las redes sociales en estrategias de marketing, aún existe una necesidad de comprender mejor la verdadera efectividad de estas prácticas, ya que los impactos derivados del marketing digital y de las redes sociales pueden ocasionar una variedad de consecuencias favorables y desfavorables para las empresas (</w:t>
      </w:r>
      <w:proofErr w:type="spellStart"/>
      <w:r>
        <w:rPr>
          <w:rFonts w:ascii="Times New Roman" w:eastAsia="Times New Roman" w:hAnsi="Times New Roman" w:cs="Times New Roman"/>
          <w:sz w:val="24"/>
          <w:szCs w:val="24"/>
        </w:rPr>
        <w:t>Dwivedi</w:t>
      </w:r>
      <w:proofErr w:type="spellEnd"/>
      <w:r>
        <w:rPr>
          <w:rFonts w:ascii="Times New Roman" w:eastAsia="Times New Roman" w:hAnsi="Times New Roman" w:cs="Times New Roman"/>
          <w:sz w:val="24"/>
          <w:szCs w:val="24"/>
        </w:rPr>
        <w:t xml:space="preserve"> et al.,2021). </w:t>
      </w:r>
      <w:bookmarkEnd w:id="6"/>
    </w:p>
    <w:p w14:paraId="43BD05F3" w14:textId="77777777" w:rsidR="00B47DE7" w:rsidRPr="00624A68" w:rsidRDefault="00B47DE7" w:rsidP="00B47DE7">
      <w:pPr>
        <w:spacing w:line="18pt" w:lineRule="auto"/>
        <w:jc w:val="both"/>
        <w:rPr>
          <w:rFonts w:ascii="Times New Roman" w:hAnsi="Times New Roman" w:cs="Times New Roman"/>
        </w:rPr>
      </w:pPr>
    </w:p>
    <w:p w14:paraId="32BD9E5D" w14:textId="262FAF24" w:rsidR="00682EB1" w:rsidRPr="007C57C4" w:rsidRDefault="00A45A1D" w:rsidP="00931FCC">
      <w:pPr>
        <w:spacing w:after="6pt" w:line="18pt" w:lineRule="auto"/>
        <w:ind w:firstLine="35.45pt"/>
        <w:jc w:val="center"/>
        <w:rPr>
          <w:rFonts w:ascii="Palatino Linotype" w:hAnsi="Palatino Linotype" w:cs="Times New Roman"/>
          <w:b/>
          <w:color w:val="00B050"/>
        </w:rPr>
      </w:pPr>
      <w:r w:rsidRPr="007C57C4">
        <w:rPr>
          <w:rFonts w:ascii="Palatino Linotype" w:hAnsi="Palatino Linotype" w:cs="Times New Roman"/>
          <w:b/>
          <w:color w:val="00B050"/>
        </w:rPr>
        <w:t>METODOLOGÍA</w:t>
      </w:r>
    </w:p>
    <w:p w14:paraId="134741CE" w14:textId="77777777" w:rsidR="00D51211" w:rsidRDefault="00D51211" w:rsidP="00D51211">
      <w:pPr>
        <w:widowControl w:val="0"/>
        <w:spacing w:line="18pt" w:lineRule="auto"/>
        <w:ind w:firstLine="28.30pt"/>
        <w:jc w:val="both"/>
        <w:rPr>
          <w:rFonts w:ascii="Times New Roman" w:eastAsia="Times New Roman" w:hAnsi="Times New Roman" w:cs="Times New Roman"/>
          <w:sz w:val="24"/>
          <w:szCs w:val="24"/>
        </w:rPr>
      </w:pPr>
      <w:bookmarkStart w:id="7" w:name="_Hlk184634842"/>
      <w:r>
        <w:rPr>
          <w:rFonts w:ascii="Times New Roman" w:eastAsia="Times New Roman" w:hAnsi="Times New Roman" w:cs="Times New Roman"/>
          <w:sz w:val="24"/>
          <w:szCs w:val="24"/>
        </w:rPr>
        <w:t xml:space="preserve">La investigación emprendida se sustenta en una revisión sistemática, siguiendo los rigurosos lineamientos establecidos por </w:t>
      </w:r>
      <w:proofErr w:type="spellStart"/>
      <w:r>
        <w:rPr>
          <w:rFonts w:ascii="Times New Roman" w:eastAsia="Times New Roman" w:hAnsi="Times New Roman" w:cs="Times New Roman"/>
          <w:sz w:val="24"/>
          <w:szCs w:val="24"/>
        </w:rPr>
        <w:t>Preferred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Reporting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Items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Systematic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Reviews</w:t>
      </w:r>
      <w:proofErr w:type="spellEnd"/>
      <w:r>
        <w:rPr>
          <w:rFonts w:ascii="Times New Roman" w:eastAsia="Times New Roman" w:hAnsi="Times New Roman" w:cs="Times New Roman"/>
          <w:sz w:val="24"/>
          <w:szCs w:val="24"/>
        </w:rPr>
        <w:t xml:space="preserve"> and Meta-</w:t>
      </w:r>
      <w:proofErr w:type="spellStart"/>
      <w:r>
        <w:rPr>
          <w:rFonts w:ascii="Times New Roman" w:eastAsia="Times New Roman" w:hAnsi="Times New Roman" w:cs="Times New Roman"/>
          <w:sz w:val="24"/>
          <w:szCs w:val="24"/>
        </w:rPr>
        <w:t>Analyses</w:t>
      </w:r>
      <w:proofErr w:type="spellEnd"/>
      <w:r>
        <w:rPr>
          <w:rFonts w:ascii="Times New Roman" w:eastAsia="Times New Roman" w:hAnsi="Times New Roman" w:cs="Times New Roman"/>
          <w:sz w:val="24"/>
          <w:szCs w:val="24"/>
        </w:rPr>
        <w:t xml:space="preserve"> (PRISMA). Este método, reconocido por su capacidad para mejorar la transparencia y la integridad en los informes científicos, se enfoca especialmente en garantizar la equidad en el proceso (Page et al., 2021). Al adherirse a estos estándares, no solo se logra una presentación más clara de los resultados, sino que </w:t>
      </w:r>
      <w:r>
        <w:rPr>
          <w:rFonts w:ascii="Times New Roman" w:eastAsia="Times New Roman" w:hAnsi="Times New Roman" w:cs="Times New Roman"/>
          <w:sz w:val="24"/>
          <w:szCs w:val="24"/>
        </w:rPr>
        <w:lastRenderedPageBreak/>
        <w:t>también se promueve la rigurosidad metodológica, lo que a su vez eleva la calidad de las revisiones sistemáticas y los metaanálisis en el ámbito de la investigación.</w:t>
      </w:r>
    </w:p>
    <w:p w14:paraId="2FB439A7" w14:textId="77777777" w:rsidR="00D51211" w:rsidRDefault="00D51211" w:rsidP="00D51211">
      <w:pPr>
        <w:widowControl w:val="0"/>
        <w:spacing w:line="18pt" w:lineRule="auto"/>
        <w:jc w:val="both"/>
        <w:rPr>
          <w:rFonts w:ascii="Times New Roman" w:eastAsia="Times New Roman" w:hAnsi="Times New Roman" w:cs="Times New Roman"/>
          <w:sz w:val="24"/>
          <w:szCs w:val="24"/>
        </w:rPr>
      </w:pPr>
    </w:p>
    <w:p w14:paraId="30148FE3" w14:textId="77777777" w:rsidR="00D51211" w:rsidRDefault="00D51211" w:rsidP="00D51211">
      <w:pPr>
        <w:widowControl w:val="0"/>
        <w:spacing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relevancia de este enfoque radica en su capacidad para ser una herramienta diseñada específicamente para mejorar la calidad de los informes en revisiones sistemáticas y metaanálisis (Linares et al., 2018). Esto implica un compromiso con la excelencia en la recopilación, análisis y presentación de los datos, lo que a su vez fortalece la credibilidad y el valor de los hallazgos en el contexto científico.</w:t>
      </w:r>
    </w:p>
    <w:p w14:paraId="1FE0D79A" w14:textId="77777777" w:rsidR="00D51211" w:rsidRDefault="00D51211" w:rsidP="00D51211">
      <w:pPr>
        <w:widowControl w:val="0"/>
        <w:spacing w:line="18pt" w:lineRule="auto"/>
        <w:jc w:val="both"/>
        <w:rPr>
          <w:rFonts w:ascii="Times New Roman" w:eastAsia="Times New Roman" w:hAnsi="Times New Roman" w:cs="Times New Roman"/>
          <w:sz w:val="24"/>
          <w:szCs w:val="24"/>
        </w:rPr>
      </w:pPr>
    </w:p>
    <w:p w14:paraId="0FBBE426" w14:textId="77777777" w:rsidR="00D51211" w:rsidRDefault="00D51211" w:rsidP="00D51211">
      <w:pPr>
        <w:widowControl w:val="0"/>
        <w:spacing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investigación sobre el marketing digital dio inicio con una exhaustiva revisión utilizando las conocidas bases de datos Web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las cuales son ampliamente reconocidas por su extensa cobertura y la calidad de la información que proporcionan. Cada una de estas bases de datos fue designada con códigos específicos: AA, AB, AC para Web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sz w:val="24"/>
          <w:szCs w:val="24"/>
        </w:rPr>
        <w:t xml:space="preserve">, y BA, BB, BC para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Para llevar a cabo las búsquedas, se empleó una sintaxis estructurada como método de consulta, de la siguiente manera: "Digital marketing y Social Media" (AA1), "Marketing online y E-</w:t>
      </w:r>
      <w:proofErr w:type="spellStart"/>
      <w:r>
        <w:rPr>
          <w:rFonts w:ascii="Times New Roman" w:eastAsia="Times New Roman" w:hAnsi="Times New Roman" w:cs="Times New Roman"/>
          <w:sz w:val="24"/>
          <w:szCs w:val="24"/>
        </w:rPr>
        <w:t>commerce</w:t>
      </w:r>
      <w:proofErr w:type="spellEnd"/>
      <w:r>
        <w:rPr>
          <w:rFonts w:ascii="Times New Roman" w:eastAsia="Times New Roman" w:hAnsi="Times New Roman" w:cs="Times New Roman"/>
          <w:sz w:val="24"/>
          <w:szCs w:val="24"/>
        </w:rPr>
        <w:t>" (AA2), "Internet marketing y Mobile Marketing" (AA3), "</w:t>
      </w:r>
      <w:proofErr w:type="spellStart"/>
      <w:r>
        <w:rPr>
          <w:rFonts w:ascii="Times New Roman" w:eastAsia="Times New Roman" w:hAnsi="Times New Roman" w:cs="Times New Roman"/>
          <w:sz w:val="24"/>
          <w:szCs w:val="24"/>
        </w:rPr>
        <w:t>Influencer</w:t>
      </w:r>
      <w:proofErr w:type="spellEnd"/>
      <w:r>
        <w:rPr>
          <w:rFonts w:ascii="Times New Roman" w:eastAsia="Times New Roman" w:hAnsi="Times New Roman" w:cs="Times New Roman"/>
          <w:sz w:val="24"/>
          <w:szCs w:val="24"/>
        </w:rPr>
        <w:t xml:space="preserve"> marketing y </w:t>
      </w:r>
      <w:proofErr w:type="spellStart"/>
      <w:r>
        <w:rPr>
          <w:rFonts w:ascii="Times New Roman" w:eastAsia="Times New Roman" w:hAnsi="Times New Roman" w:cs="Times New Roman"/>
          <w:sz w:val="24"/>
          <w:szCs w:val="24"/>
        </w:rPr>
        <w:t>purchasing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decisions</w:t>
      </w:r>
      <w:proofErr w:type="spellEnd"/>
      <w:r>
        <w:rPr>
          <w:rFonts w:ascii="Times New Roman" w:eastAsia="Times New Roman" w:hAnsi="Times New Roman" w:cs="Times New Roman"/>
          <w:sz w:val="24"/>
          <w:szCs w:val="24"/>
        </w:rPr>
        <w:t>" (AA4). Estas consultas se realizaron en tres idiomas: español, inglés y portugués, y abarcaron el período comprendido desde 2020 hasta el límite temporal del análisis en 2024.</w:t>
      </w:r>
    </w:p>
    <w:p w14:paraId="362C37EF" w14:textId="77777777" w:rsidR="00D51211" w:rsidRDefault="00D51211" w:rsidP="00D51211">
      <w:pPr>
        <w:widowControl w:val="0"/>
        <w:spacing w:line="18pt" w:lineRule="auto"/>
        <w:jc w:val="both"/>
        <w:rPr>
          <w:rFonts w:ascii="Times New Roman" w:eastAsia="Times New Roman" w:hAnsi="Times New Roman" w:cs="Times New Roman"/>
          <w:sz w:val="24"/>
          <w:szCs w:val="24"/>
        </w:rPr>
      </w:pPr>
    </w:p>
    <w:p w14:paraId="596A9328" w14:textId="287D5D56" w:rsidR="00D51211" w:rsidRDefault="00D51211" w:rsidP="00D51211">
      <w:pPr>
        <w:widowControl w:val="0"/>
        <w:spacing w:line="18pt" w:lineRule="auto"/>
        <w:ind w:firstLine="28.30p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 </w:t>
      </w:r>
      <w:r w:rsidR="00E023C8">
        <w:rPr>
          <w:rFonts w:ascii="Times New Roman" w:eastAsia="Times New Roman" w:hAnsi="Times New Roman" w:cs="Times New Roman"/>
          <w:sz w:val="24"/>
          <w:szCs w:val="24"/>
        </w:rPr>
        <w:t>continuación,</w:t>
      </w:r>
      <w:r>
        <w:rPr>
          <w:rFonts w:ascii="Times New Roman" w:eastAsia="Times New Roman" w:hAnsi="Times New Roman" w:cs="Times New Roman"/>
          <w:sz w:val="24"/>
          <w:szCs w:val="24"/>
        </w:rPr>
        <w:t xml:space="preserve"> en las siguientes tablas se presentan las combinaciones y criterios utilizados para obtener el total final de 30 fuentes.</w:t>
      </w:r>
    </w:p>
    <w:p w14:paraId="689C3C5F" w14:textId="77777777" w:rsidR="00D51211" w:rsidRDefault="00D51211" w:rsidP="00D51211">
      <w:pPr>
        <w:widowControl w:val="0"/>
        <w:spacing w:line="18pt" w:lineRule="auto"/>
        <w:rPr>
          <w:rFonts w:ascii="Times New Roman" w:eastAsia="Times New Roman" w:hAnsi="Times New Roman" w:cs="Times New Roman"/>
          <w:b/>
          <w:sz w:val="24"/>
          <w:szCs w:val="24"/>
        </w:rPr>
      </w:pPr>
    </w:p>
    <w:p w14:paraId="7F6F323B" w14:textId="77777777" w:rsidR="00E023C8" w:rsidRDefault="00E023C8" w:rsidP="00D51211">
      <w:pPr>
        <w:widowControl w:val="0"/>
        <w:spacing w:line="18pt" w:lineRule="auto"/>
        <w:rPr>
          <w:rFonts w:ascii="Times New Roman" w:eastAsia="Times New Roman" w:hAnsi="Times New Roman" w:cs="Times New Roman"/>
          <w:b/>
          <w:sz w:val="24"/>
          <w:szCs w:val="24"/>
        </w:rPr>
      </w:pPr>
    </w:p>
    <w:p w14:paraId="22AFAD8D" w14:textId="77777777" w:rsidR="00E023C8" w:rsidRDefault="00E023C8" w:rsidP="00D51211">
      <w:pPr>
        <w:widowControl w:val="0"/>
        <w:spacing w:line="18pt" w:lineRule="auto"/>
        <w:rPr>
          <w:rFonts w:ascii="Times New Roman" w:eastAsia="Times New Roman" w:hAnsi="Times New Roman" w:cs="Times New Roman"/>
          <w:b/>
          <w:sz w:val="24"/>
          <w:szCs w:val="24"/>
        </w:rPr>
      </w:pPr>
    </w:p>
    <w:p w14:paraId="020C6A1A" w14:textId="77777777" w:rsidR="00E023C8" w:rsidRDefault="00E023C8" w:rsidP="00D51211">
      <w:pPr>
        <w:widowControl w:val="0"/>
        <w:spacing w:line="18pt" w:lineRule="auto"/>
        <w:rPr>
          <w:rFonts w:ascii="Times New Roman" w:eastAsia="Times New Roman" w:hAnsi="Times New Roman" w:cs="Times New Roman"/>
          <w:b/>
          <w:sz w:val="24"/>
          <w:szCs w:val="24"/>
        </w:rPr>
      </w:pPr>
    </w:p>
    <w:p w14:paraId="4CC4F65B" w14:textId="77777777" w:rsidR="00D51211" w:rsidRDefault="00D51211" w:rsidP="00D51211">
      <w:pPr>
        <w:widowControl w:val="0"/>
        <w:spacing w:line="18pt"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Tabla 1:</w:t>
      </w:r>
    </w:p>
    <w:p w14:paraId="3B2BE5D6" w14:textId="77777777" w:rsidR="00D51211" w:rsidRDefault="00D51211" w:rsidP="00D51211">
      <w:pPr>
        <w:widowControl w:val="0"/>
        <w:spacing w:line="18pt"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Filtro de Método PRISMA</w:t>
      </w:r>
    </w:p>
    <w:tbl>
      <w:tblPr>
        <w:tblW w:w="464.25pt" w:type="dxa"/>
        <w:tblInd w:w="-12.25pt" w:type="dxa"/>
        <w:tblBorders>
          <w:top w:val="nil"/>
          <w:start w:val="nil"/>
          <w:bottom w:val="nil"/>
          <w:end w:val="nil"/>
          <w:insideH w:val="nil"/>
          <w:insideV w:val="nil"/>
        </w:tblBorders>
        <w:tblLayout w:type="fixed"/>
        <w:tblLook w:firstRow="0" w:lastRow="0" w:firstColumn="0" w:lastColumn="0" w:noHBand="1" w:noVBand="1"/>
      </w:tblPr>
      <w:tblGrid>
        <w:gridCol w:w="1290"/>
        <w:gridCol w:w="2205"/>
        <w:gridCol w:w="1935"/>
        <w:gridCol w:w="1965"/>
        <w:gridCol w:w="1890"/>
      </w:tblGrid>
      <w:tr w:rsidR="00D51211" w14:paraId="4849DF42" w14:textId="77777777" w:rsidTr="00654BC5">
        <w:trPr>
          <w:trHeight w:val="360"/>
          <w:tblHeader/>
        </w:trPr>
        <w:tc>
          <w:tcPr>
            <w:tcW w:w="64.50pt" w:type="dxa"/>
            <w:tcBorders>
              <w:top w:val="single" w:sz="6" w:space="0" w:color="000000"/>
              <w:start w:val="single" w:sz="6" w:space="0" w:color="FFFFFF"/>
              <w:bottom w:val="single" w:sz="6" w:space="0" w:color="000000"/>
              <w:end w:val="single" w:sz="6" w:space="0" w:color="FFFFFF"/>
            </w:tcBorders>
            <w:tcMar>
              <w:top w:w="0pt" w:type="dxa"/>
              <w:start w:w="2pt" w:type="dxa"/>
              <w:bottom w:w="0pt" w:type="dxa"/>
              <w:end w:w="2pt" w:type="dxa"/>
            </w:tcMar>
          </w:tcPr>
          <w:p w14:paraId="1E1D2859"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CÓDIGO</w:t>
            </w:r>
          </w:p>
        </w:tc>
        <w:tc>
          <w:tcPr>
            <w:tcW w:w="110.25pt" w:type="dxa"/>
            <w:tcBorders>
              <w:top w:val="single" w:sz="6" w:space="0" w:color="000000"/>
              <w:start w:val="single" w:sz="6" w:space="0" w:color="FFFFFF"/>
              <w:bottom w:val="single" w:sz="6" w:space="0" w:color="000000"/>
              <w:end w:val="single" w:sz="6" w:space="0" w:color="FFFFFF"/>
            </w:tcBorders>
            <w:tcMar>
              <w:top w:w="0pt" w:type="dxa"/>
              <w:start w:w="2pt" w:type="dxa"/>
              <w:bottom w:w="0pt" w:type="dxa"/>
              <w:end w:w="2pt" w:type="dxa"/>
            </w:tcMar>
            <w:vAlign w:val="center"/>
          </w:tcPr>
          <w:p w14:paraId="5FA19D7F"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COMBINACIONES</w:t>
            </w:r>
          </w:p>
        </w:tc>
        <w:tc>
          <w:tcPr>
            <w:tcW w:w="96.75pt" w:type="dxa"/>
            <w:tcBorders>
              <w:top w:val="single" w:sz="6" w:space="0" w:color="000000"/>
              <w:start w:val="single" w:sz="6" w:space="0" w:color="FFFFFF"/>
              <w:bottom w:val="single" w:sz="6" w:space="0" w:color="000000"/>
              <w:end w:val="single" w:sz="6" w:space="0" w:color="FFFFFF"/>
            </w:tcBorders>
            <w:shd w:val="clear" w:color="auto" w:fill="FFFFFF"/>
            <w:tcMar>
              <w:top w:w="0pt" w:type="dxa"/>
              <w:start w:w="2pt" w:type="dxa"/>
              <w:bottom w:w="0pt" w:type="dxa"/>
              <w:end w:w="2pt" w:type="dxa"/>
            </w:tcMar>
            <w:vAlign w:val="center"/>
          </w:tcPr>
          <w:p w14:paraId="5623EFB2"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Español</w:t>
            </w:r>
          </w:p>
        </w:tc>
        <w:tc>
          <w:tcPr>
            <w:tcW w:w="98.25pt" w:type="dxa"/>
            <w:tcBorders>
              <w:top w:val="single" w:sz="6" w:space="0" w:color="000000"/>
              <w:start w:val="single" w:sz="6" w:space="0" w:color="FFFFFF"/>
              <w:bottom w:val="single" w:sz="6" w:space="0" w:color="000000"/>
              <w:end w:val="single" w:sz="6" w:space="0" w:color="FFFFFF"/>
            </w:tcBorders>
            <w:tcMar>
              <w:top w:w="0pt" w:type="dxa"/>
              <w:start w:w="2pt" w:type="dxa"/>
              <w:bottom w:w="0pt" w:type="dxa"/>
              <w:end w:w="2pt" w:type="dxa"/>
            </w:tcMar>
          </w:tcPr>
          <w:p w14:paraId="3BAF6258"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Inglés</w:t>
            </w:r>
          </w:p>
        </w:tc>
        <w:tc>
          <w:tcPr>
            <w:tcW w:w="94.50pt" w:type="dxa"/>
            <w:tcBorders>
              <w:top w:val="single" w:sz="6" w:space="0" w:color="000000"/>
              <w:start w:val="single" w:sz="6" w:space="0" w:color="FFFFFF"/>
              <w:bottom w:val="single" w:sz="6" w:space="0" w:color="000000"/>
              <w:end w:val="single" w:sz="6" w:space="0" w:color="FFFFFF"/>
            </w:tcBorders>
            <w:tcMar>
              <w:top w:w="0pt" w:type="dxa"/>
              <w:start w:w="2pt" w:type="dxa"/>
              <w:bottom w:w="0pt" w:type="dxa"/>
              <w:end w:w="2pt" w:type="dxa"/>
            </w:tcMar>
            <w:vAlign w:val="center"/>
          </w:tcPr>
          <w:p w14:paraId="525CAC46"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Portugués</w:t>
            </w:r>
          </w:p>
        </w:tc>
      </w:tr>
      <w:tr w:rsidR="00D51211" w14:paraId="6281D2B2" w14:textId="77777777" w:rsidTr="00654BC5">
        <w:trPr>
          <w:trHeight w:val="825"/>
        </w:trPr>
        <w:tc>
          <w:tcPr>
            <w:tcW w:w="64.50pt" w:type="dxa"/>
            <w:tcBorders>
              <w:top w:val="single" w:sz="6" w:space="0" w:color="CCCCCC"/>
              <w:start w:val="single" w:sz="6" w:space="0" w:color="FFFFFF"/>
              <w:bottom w:val="single" w:sz="6" w:space="0" w:color="FFFFFF"/>
              <w:end w:val="single" w:sz="6" w:space="0" w:color="FFFFFF"/>
            </w:tcBorders>
            <w:tcMar>
              <w:top w:w="0pt" w:type="dxa"/>
              <w:start w:w="2pt" w:type="dxa"/>
              <w:bottom w:w="0pt" w:type="dxa"/>
              <w:end w:w="2pt" w:type="dxa"/>
            </w:tcMar>
          </w:tcPr>
          <w:p w14:paraId="5506BB0C"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0.25pt" w:type="dxa"/>
            <w:tcBorders>
              <w:top w:val="single" w:sz="6" w:space="0" w:color="CCCCCC"/>
              <w:start w:val="single" w:sz="6" w:space="0" w:color="FFFFFF"/>
              <w:bottom w:val="single" w:sz="6" w:space="0" w:color="FFFFFF"/>
              <w:end w:val="single" w:sz="6" w:space="0" w:color="FFFFFF"/>
            </w:tcBorders>
            <w:tcMar>
              <w:top w:w="0pt" w:type="dxa"/>
              <w:start w:w="2pt" w:type="dxa"/>
              <w:bottom w:w="0pt" w:type="dxa"/>
              <w:end w:w="2pt" w:type="dxa"/>
            </w:tcMar>
            <w:vAlign w:val="center"/>
          </w:tcPr>
          <w:p w14:paraId="7E428D8D"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Digital marketing + Redes Sociales</w:t>
            </w:r>
          </w:p>
        </w:tc>
        <w:tc>
          <w:tcPr>
            <w:tcW w:w="96.75pt" w:type="dxa"/>
            <w:tcBorders>
              <w:top w:val="single" w:sz="6" w:space="0" w:color="CCCCCC"/>
              <w:start w:val="single" w:sz="6" w:space="0" w:color="FFFFFF"/>
              <w:bottom w:val="single" w:sz="6" w:space="0" w:color="FFFFFF"/>
              <w:end w:val="single" w:sz="6" w:space="0" w:color="FFFFFF"/>
            </w:tcBorders>
            <w:shd w:val="clear" w:color="auto" w:fill="FFFFFF"/>
            <w:tcMar>
              <w:top w:w="0pt" w:type="dxa"/>
              <w:start w:w="2pt" w:type="dxa"/>
              <w:bottom w:w="0pt" w:type="dxa"/>
              <w:end w:w="2pt" w:type="dxa"/>
            </w:tcMar>
            <w:vAlign w:val="center"/>
          </w:tcPr>
          <w:p w14:paraId="5A3D6464"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Mercadotecnia + Redes sociales</w:t>
            </w:r>
          </w:p>
        </w:tc>
        <w:tc>
          <w:tcPr>
            <w:tcW w:w="98.25pt" w:type="dxa"/>
            <w:tcBorders>
              <w:top w:val="single" w:sz="6" w:space="0" w:color="CCCCCC"/>
              <w:start w:val="single" w:sz="6" w:space="0" w:color="FFFFFF"/>
              <w:bottom w:val="single" w:sz="6" w:space="0" w:color="FFFFFF"/>
              <w:end w:val="single" w:sz="6" w:space="0" w:color="FFFFFF"/>
            </w:tcBorders>
            <w:tcMar>
              <w:top w:w="0pt" w:type="dxa"/>
              <w:start w:w="2pt" w:type="dxa"/>
              <w:bottom w:w="0pt" w:type="dxa"/>
              <w:end w:w="2pt" w:type="dxa"/>
            </w:tcMar>
          </w:tcPr>
          <w:p w14:paraId="00412813"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Digital marketing + Redes Sociales</w:t>
            </w:r>
          </w:p>
        </w:tc>
        <w:tc>
          <w:tcPr>
            <w:tcW w:w="94.50pt" w:type="dxa"/>
            <w:tcBorders>
              <w:top w:val="single" w:sz="6" w:space="0" w:color="CCCCCC"/>
              <w:start w:val="single" w:sz="6" w:space="0" w:color="FFFFFF"/>
              <w:bottom w:val="single" w:sz="6" w:space="0" w:color="FFFFFF"/>
              <w:end w:val="single" w:sz="6" w:space="0" w:color="FFFFFF"/>
            </w:tcBorders>
            <w:tcMar>
              <w:top w:w="0pt" w:type="dxa"/>
              <w:start w:w="2pt" w:type="dxa"/>
              <w:bottom w:w="0pt" w:type="dxa"/>
              <w:end w:w="2pt" w:type="dxa"/>
            </w:tcMar>
            <w:vAlign w:val="center"/>
          </w:tcPr>
          <w:p w14:paraId="5EAB08EA"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Marketing Digital + Redes </w:t>
            </w:r>
            <w:proofErr w:type="spellStart"/>
            <w:r>
              <w:rPr>
                <w:rFonts w:ascii="Times New Roman" w:eastAsia="Times New Roman" w:hAnsi="Times New Roman" w:cs="Times New Roman"/>
                <w:sz w:val="24"/>
                <w:szCs w:val="24"/>
              </w:rPr>
              <w:t>Sociais</w:t>
            </w:r>
            <w:proofErr w:type="spellEnd"/>
          </w:p>
        </w:tc>
      </w:tr>
      <w:tr w:rsidR="00D51211" w14:paraId="13169D2B" w14:textId="77777777" w:rsidTr="00654BC5">
        <w:trPr>
          <w:trHeight w:val="825"/>
        </w:trPr>
        <w:tc>
          <w:tcPr>
            <w:tcW w:w="64.50pt" w:type="dxa"/>
            <w:tcBorders>
              <w:top w:val="single" w:sz="6" w:space="0" w:color="FFFFFF"/>
              <w:start w:val="single" w:sz="6" w:space="0" w:color="FFFFFF"/>
              <w:bottom w:val="single" w:sz="6" w:space="0" w:color="FFFFFF"/>
              <w:end w:val="single" w:sz="6" w:space="0" w:color="FFFFFF"/>
            </w:tcBorders>
            <w:tcMar>
              <w:top w:w="0pt" w:type="dxa"/>
              <w:start w:w="2pt" w:type="dxa"/>
              <w:bottom w:w="0pt" w:type="dxa"/>
              <w:end w:w="2pt" w:type="dxa"/>
            </w:tcMar>
          </w:tcPr>
          <w:p w14:paraId="297CEF27"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0.25pt" w:type="dxa"/>
            <w:tcBorders>
              <w:top w:val="single" w:sz="6" w:space="0" w:color="FFFFFF"/>
              <w:start w:val="single" w:sz="6" w:space="0" w:color="FFFFFF"/>
              <w:bottom w:val="single" w:sz="6" w:space="0" w:color="FFFFFF"/>
              <w:end w:val="single" w:sz="6" w:space="0" w:color="FFFFFF"/>
            </w:tcBorders>
            <w:tcMar>
              <w:top w:w="0pt" w:type="dxa"/>
              <w:start w:w="2pt" w:type="dxa"/>
              <w:bottom w:w="0pt" w:type="dxa"/>
              <w:end w:w="2pt" w:type="dxa"/>
            </w:tcMar>
            <w:vAlign w:val="center"/>
          </w:tcPr>
          <w:p w14:paraId="38EF61A4"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 online + e-</w:t>
            </w:r>
            <w:proofErr w:type="spellStart"/>
            <w:r>
              <w:rPr>
                <w:rFonts w:ascii="Times New Roman" w:eastAsia="Times New Roman" w:hAnsi="Times New Roman" w:cs="Times New Roman"/>
                <w:sz w:val="24"/>
                <w:szCs w:val="24"/>
              </w:rPr>
              <w:t>commerce</w:t>
            </w:r>
            <w:proofErr w:type="spellEnd"/>
          </w:p>
        </w:tc>
        <w:tc>
          <w:tcPr>
            <w:tcW w:w="96.75pt" w:type="dxa"/>
            <w:tcBorders>
              <w:top w:val="single" w:sz="6" w:space="0" w:color="FFFFFF"/>
              <w:start w:val="single" w:sz="6" w:space="0" w:color="FFFFFF"/>
              <w:bottom w:val="single" w:sz="6" w:space="0" w:color="FFFFFF"/>
              <w:end w:val="single" w:sz="6" w:space="0" w:color="FFFFFF"/>
            </w:tcBorders>
            <w:shd w:val="clear" w:color="auto" w:fill="FFFFFF"/>
            <w:tcMar>
              <w:top w:w="0pt" w:type="dxa"/>
              <w:start w:w="2pt" w:type="dxa"/>
              <w:bottom w:w="0pt" w:type="dxa"/>
              <w:end w:w="2pt" w:type="dxa"/>
            </w:tcMar>
            <w:vAlign w:val="center"/>
          </w:tcPr>
          <w:p w14:paraId="5281AC70"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Mercadotecnia + comercio electrónico</w:t>
            </w:r>
          </w:p>
        </w:tc>
        <w:tc>
          <w:tcPr>
            <w:tcW w:w="98.25pt" w:type="dxa"/>
            <w:tcBorders>
              <w:top w:val="single" w:sz="6" w:space="0" w:color="FFFFFF"/>
              <w:start w:val="single" w:sz="6" w:space="0" w:color="FFFFFF"/>
              <w:bottom w:val="single" w:sz="6" w:space="0" w:color="FFFFFF"/>
              <w:end w:val="single" w:sz="6" w:space="0" w:color="FFFFFF"/>
            </w:tcBorders>
            <w:tcMar>
              <w:top w:w="0pt" w:type="dxa"/>
              <w:start w:w="2pt" w:type="dxa"/>
              <w:bottom w:w="0pt" w:type="dxa"/>
              <w:end w:w="2pt" w:type="dxa"/>
            </w:tcMar>
          </w:tcPr>
          <w:p w14:paraId="53C1390D"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 online + e-</w:t>
            </w:r>
            <w:proofErr w:type="spellStart"/>
            <w:r>
              <w:rPr>
                <w:rFonts w:ascii="Times New Roman" w:eastAsia="Times New Roman" w:hAnsi="Times New Roman" w:cs="Times New Roman"/>
                <w:sz w:val="24"/>
                <w:szCs w:val="24"/>
              </w:rPr>
              <w:t>commerce</w:t>
            </w:r>
            <w:proofErr w:type="spellEnd"/>
          </w:p>
        </w:tc>
        <w:tc>
          <w:tcPr>
            <w:tcW w:w="94.50pt" w:type="dxa"/>
            <w:tcBorders>
              <w:top w:val="single" w:sz="6" w:space="0" w:color="FFFFFF"/>
              <w:start w:val="single" w:sz="6" w:space="0" w:color="FFFFFF"/>
              <w:bottom w:val="single" w:sz="6" w:space="0" w:color="FFFFFF"/>
              <w:end w:val="single" w:sz="6" w:space="0" w:color="FFFFFF"/>
            </w:tcBorders>
            <w:tcMar>
              <w:top w:w="0pt" w:type="dxa"/>
              <w:start w:w="2pt" w:type="dxa"/>
              <w:bottom w:w="0pt" w:type="dxa"/>
              <w:end w:w="2pt" w:type="dxa"/>
            </w:tcMar>
            <w:vAlign w:val="center"/>
          </w:tcPr>
          <w:p w14:paraId="36B684EF"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marketing on-line + </w:t>
            </w:r>
            <w:proofErr w:type="spellStart"/>
            <w:r>
              <w:rPr>
                <w:rFonts w:ascii="Times New Roman" w:eastAsia="Times New Roman" w:hAnsi="Times New Roman" w:cs="Times New Roman"/>
                <w:sz w:val="24"/>
                <w:szCs w:val="24"/>
              </w:rPr>
              <w:t>comércio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eletrônico</w:t>
            </w:r>
            <w:proofErr w:type="spellEnd"/>
          </w:p>
        </w:tc>
      </w:tr>
      <w:tr w:rsidR="00D51211" w14:paraId="178824F8" w14:textId="77777777" w:rsidTr="00654BC5">
        <w:trPr>
          <w:trHeight w:val="1095"/>
        </w:trPr>
        <w:tc>
          <w:tcPr>
            <w:tcW w:w="64.50pt" w:type="dxa"/>
            <w:tcBorders>
              <w:top w:val="single" w:sz="6" w:space="0" w:color="FFFFFF"/>
              <w:start w:val="single" w:sz="6" w:space="0" w:color="FFFFFF"/>
              <w:bottom w:val="single" w:sz="6" w:space="0" w:color="FFFFFF"/>
              <w:end w:val="single" w:sz="6" w:space="0" w:color="FFFFFF"/>
            </w:tcBorders>
            <w:tcMar>
              <w:top w:w="0pt" w:type="dxa"/>
              <w:start w:w="2pt" w:type="dxa"/>
              <w:bottom w:w="0pt" w:type="dxa"/>
              <w:end w:w="2pt" w:type="dxa"/>
            </w:tcMar>
          </w:tcPr>
          <w:p w14:paraId="65983404" w14:textId="77777777" w:rsidR="00D51211" w:rsidRDefault="00D51211" w:rsidP="00654BC5">
            <w:pPr>
              <w:widowControl w:val="0"/>
              <w:spacing w:line="18pt" w:lineRule="auto"/>
              <w:rPr>
                <w:rFonts w:ascii="Times New Roman" w:eastAsia="Times New Roman" w:hAnsi="Times New Roman" w:cs="Times New Roman"/>
                <w:sz w:val="24"/>
                <w:szCs w:val="24"/>
              </w:rPr>
            </w:pPr>
          </w:p>
          <w:p w14:paraId="1B105C8A"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10.25pt" w:type="dxa"/>
            <w:tcBorders>
              <w:top w:val="single" w:sz="6" w:space="0" w:color="FFFFFF"/>
              <w:start w:val="single" w:sz="6" w:space="0" w:color="FFFFFF"/>
              <w:bottom w:val="single" w:sz="6" w:space="0" w:color="FFFFFF"/>
              <w:end w:val="single" w:sz="6" w:space="0" w:color="FFFFFF"/>
            </w:tcBorders>
            <w:tcMar>
              <w:top w:w="0pt" w:type="dxa"/>
              <w:start w:w="2pt" w:type="dxa"/>
              <w:bottom w:w="0pt" w:type="dxa"/>
              <w:end w:w="2pt" w:type="dxa"/>
            </w:tcMar>
            <w:vAlign w:val="center"/>
          </w:tcPr>
          <w:p w14:paraId="5DBAE0DD"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Internet marketing + </w:t>
            </w:r>
            <w:proofErr w:type="spellStart"/>
            <w:r>
              <w:rPr>
                <w:rFonts w:ascii="Times New Roman" w:eastAsia="Times New Roman" w:hAnsi="Times New Roman" w:cs="Times New Roman"/>
                <w:sz w:val="24"/>
                <w:szCs w:val="24"/>
              </w:rPr>
              <w:t>mobile</w:t>
            </w:r>
            <w:proofErr w:type="spellEnd"/>
            <w:r>
              <w:rPr>
                <w:rFonts w:ascii="Times New Roman" w:eastAsia="Times New Roman" w:hAnsi="Times New Roman" w:cs="Times New Roman"/>
                <w:sz w:val="24"/>
                <w:szCs w:val="24"/>
              </w:rPr>
              <w:t xml:space="preserve"> marketing</w:t>
            </w:r>
          </w:p>
        </w:tc>
        <w:tc>
          <w:tcPr>
            <w:tcW w:w="96.75pt" w:type="dxa"/>
            <w:tcBorders>
              <w:top w:val="single" w:sz="6" w:space="0" w:color="FFFFFF"/>
              <w:start w:val="single" w:sz="6" w:space="0" w:color="FFFFFF"/>
              <w:bottom w:val="single" w:sz="6" w:space="0" w:color="FFFFFF"/>
              <w:end w:val="single" w:sz="6" w:space="0" w:color="FFFFFF"/>
            </w:tcBorders>
            <w:shd w:val="clear" w:color="auto" w:fill="FFFFFF"/>
            <w:tcMar>
              <w:top w:w="0pt" w:type="dxa"/>
              <w:start w:w="2pt" w:type="dxa"/>
              <w:bottom w:w="0pt" w:type="dxa"/>
              <w:end w:w="2pt" w:type="dxa"/>
            </w:tcMar>
            <w:vAlign w:val="center"/>
          </w:tcPr>
          <w:p w14:paraId="65516A1B"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mercadeo digital + Marketing Móvil</w:t>
            </w:r>
          </w:p>
        </w:tc>
        <w:tc>
          <w:tcPr>
            <w:tcW w:w="98.25pt" w:type="dxa"/>
            <w:tcBorders>
              <w:top w:val="single" w:sz="6" w:space="0" w:color="FFFFFF"/>
              <w:start w:val="single" w:sz="6" w:space="0" w:color="FFFFFF"/>
              <w:bottom w:val="single" w:sz="6" w:space="0" w:color="FFFFFF"/>
              <w:end w:val="single" w:sz="6" w:space="0" w:color="FFFFFF"/>
            </w:tcBorders>
            <w:tcMar>
              <w:top w:w="0pt" w:type="dxa"/>
              <w:start w:w="2pt" w:type="dxa"/>
              <w:bottom w:w="0pt" w:type="dxa"/>
              <w:end w:w="2pt" w:type="dxa"/>
            </w:tcMar>
          </w:tcPr>
          <w:p w14:paraId="7F607641"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Internet marketing + </w:t>
            </w:r>
            <w:proofErr w:type="spellStart"/>
            <w:r>
              <w:rPr>
                <w:rFonts w:ascii="Times New Roman" w:eastAsia="Times New Roman" w:hAnsi="Times New Roman" w:cs="Times New Roman"/>
                <w:sz w:val="24"/>
                <w:szCs w:val="24"/>
              </w:rPr>
              <w:t>mobile</w:t>
            </w:r>
            <w:proofErr w:type="spellEnd"/>
            <w:r>
              <w:rPr>
                <w:rFonts w:ascii="Times New Roman" w:eastAsia="Times New Roman" w:hAnsi="Times New Roman" w:cs="Times New Roman"/>
                <w:sz w:val="24"/>
                <w:szCs w:val="24"/>
              </w:rPr>
              <w:t xml:space="preserve"> marketing</w:t>
            </w:r>
          </w:p>
        </w:tc>
        <w:tc>
          <w:tcPr>
            <w:tcW w:w="94.50pt" w:type="dxa"/>
            <w:tcBorders>
              <w:top w:val="single" w:sz="6" w:space="0" w:color="FFFFFF"/>
              <w:start w:val="single" w:sz="6" w:space="0" w:color="FFFFFF"/>
              <w:bottom w:val="single" w:sz="6" w:space="0" w:color="FFFFFF"/>
              <w:end w:val="single" w:sz="6" w:space="0" w:color="FFFFFF"/>
            </w:tcBorders>
            <w:tcMar>
              <w:top w:w="0pt" w:type="dxa"/>
              <w:start w:w="2pt" w:type="dxa"/>
              <w:bottom w:w="0pt" w:type="dxa"/>
              <w:end w:w="2pt" w:type="dxa"/>
            </w:tcMar>
            <w:vAlign w:val="center"/>
          </w:tcPr>
          <w:p w14:paraId="32A5A3C2"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marketing digital + marketing </w:t>
            </w:r>
            <w:proofErr w:type="spellStart"/>
            <w:r>
              <w:rPr>
                <w:rFonts w:ascii="Times New Roman" w:eastAsia="Times New Roman" w:hAnsi="Times New Roman" w:cs="Times New Roman"/>
                <w:sz w:val="24"/>
                <w:szCs w:val="24"/>
              </w:rPr>
              <w:t>móvel</w:t>
            </w:r>
            <w:proofErr w:type="spellEnd"/>
          </w:p>
        </w:tc>
      </w:tr>
      <w:tr w:rsidR="00D51211" w:rsidRPr="00802931" w14:paraId="5FD9EE6F" w14:textId="77777777" w:rsidTr="00654BC5">
        <w:trPr>
          <w:trHeight w:val="1095"/>
        </w:trPr>
        <w:tc>
          <w:tcPr>
            <w:tcW w:w="64.50pt" w:type="dxa"/>
            <w:tcBorders>
              <w:top w:val="single" w:sz="6" w:space="0" w:color="FFFFFF"/>
              <w:start w:val="single" w:sz="6" w:space="0" w:color="FFFFFF"/>
              <w:bottom w:val="single" w:sz="6" w:space="0" w:color="000000"/>
              <w:end w:val="single" w:sz="6" w:space="0" w:color="FFFFFF"/>
            </w:tcBorders>
            <w:tcMar>
              <w:top w:w="0pt" w:type="dxa"/>
              <w:start w:w="2pt" w:type="dxa"/>
              <w:bottom w:w="0pt" w:type="dxa"/>
              <w:end w:w="2pt" w:type="dxa"/>
            </w:tcMar>
          </w:tcPr>
          <w:p w14:paraId="5CFEE940" w14:textId="77777777" w:rsidR="00D51211" w:rsidRDefault="00D51211" w:rsidP="00654BC5">
            <w:pPr>
              <w:widowControl w:val="0"/>
              <w:spacing w:line="18pt" w:lineRule="auto"/>
              <w:rPr>
                <w:rFonts w:ascii="Times New Roman" w:eastAsia="Times New Roman" w:hAnsi="Times New Roman" w:cs="Times New Roman"/>
                <w:sz w:val="24"/>
                <w:szCs w:val="24"/>
              </w:rPr>
            </w:pPr>
          </w:p>
          <w:p w14:paraId="3A472E11"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10.25pt" w:type="dxa"/>
            <w:tcBorders>
              <w:top w:val="single" w:sz="6" w:space="0" w:color="FFFFFF"/>
              <w:start w:val="single" w:sz="6" w:space="0" w:color="FFFFFF"/>
              <w:bottom w:val="single" w:sz="6" w:space="0" w:color="000000"/>
              <w:end w:val="single" w:sz="6" w:space="0" w:color="FFFFFF"/>
            </w:tcBorders>
            <w:shd w:val="clear" w:color="auto" w:fill="FFFFFF"/>
            <w:tcMar>
              <w:top w:w="0pt" w:type="dxa"/>
              <w:start w:w="2pt" w:type="dxa"/>
              <w:bottom w:w="0pt" w:type="dxa"/>
              <w:end w:w="2pt" w:type="dxa"/>
            </w:tcMar>
            <w:vAlign w:val="center"/>
          </w:tcPr>
          <w:p w14:paraId="57BF18A4"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Influencer</w:t>
            </w:r>
            <w:proofErr w:type="spellEnd"/>
            <w:r>
              <w:rPr>
                <w:rFonts w:ascii="Times New Roman" w:eastAsia="Times New Roman" w:hAnsi="Times New Roman" w:cs="Times New Roman"/>
                <w:sz w:val="24"/>
                <w:szCs w:val="24"/>
              </w:rPr>
              <w:t xml:space="preserve"> marketing + </w:t>
            </w:r>
            <w:proofErr w:type="spellStart"/>
            <w:r>
              <w:rPr>
                <w:rFonts w:ascii="Times New Roman" w:eastAsia="Times New Roman" w:hAnsi="Times New Roman" w:cs="Times New Roman"/>
                <w:sz w:val="24"/>
                <w:szCs w:val="24"/>
              </w:rPr>
              <w:t>purchasing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decisions</w:t>
            </w:r>
            <w:proofErr w:type="spellEnd"/>
          </w:p>
        </w:tc>
        <w:tc>
          <w:tcPr>
            <w:tcW w:w="96.75pt" w:type="dxa"/>
            <w:tcBorders>
              <w:top w:val="single" w:sz="6" w:space="0" w:color="FFFFFF"/>
              <w:start w:val="single" w:sz="6" w:space="0" w:color="FFFFFF"/>
              <w:bottom w:val="single" w:sz="6" w:space="0" w:color="000000"/>
              <w:end w:val="single" w:sz="6" w:space="0" w:color="FFFFFF"/>
            </w:tcBorders>
            <w:tcMar>
              <w:top w:w="0pt" w:type="dxa"/>
              <w:start w:w="2pt" w:type="dxa"/>
              <w:bottom w:w="0pt" w:type="dxa"/>
              <w:end w:w="2pt" w:type="dxa"/>
            </w:tcMar>
            <w:vAlign w:val="center"/>
          </w:tcPr>
          <w:p w14:paraId="59213CF2"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Marketing de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 decisiones de compra</w:t>
            </w:r>
          </w:p>
        </w:tc>
        <w:tc>
          <w:tcPr>
            <w:tcW w:w="98.25pt" w:type="dxa"/>
            <w:tcBorders>
              <w:top w:val="single" w:sz="6" w:space="0" w:color="FFFFFF"/>
              <w:start w:val="single" w:sz="6" w:space="0" w:color="FFFFFF"/>
              <w:bottom w:val="single" w:sz="6" w:space="0" w:color="000000"/>
              <w:end w:val="single" w:sz="6" w:space="0" w:color="FFFFFF"/>
            </w:tcBorders>
            <w:shd w:val="clear" w:color="auto" w:fill="FFFFFF"/>
            <w:tcMar>
              <w:top w:w="0pt" w:type="dxa"/>
              <w:start w:w="2pt" w:type="dxa"/>
              <w:bottom w:w="0pt" w:type="dxa"/>
              <w:end w:w="2pt" w:type="dxa"/>
            </w:tcMar>
            <w:vAlign w:val="center"/>
          </w:tcPr>
          <w:p w14:paraId="6B2BE2EF"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Influencer</w:t>
            </w:r>
            <w:proofErr w:type="spellEnd"/>
            <w:r>
              <w:rPr>
                <w:rFonts w:ascii="Times New Roman" w:eastAsia="Times New Roman" w:hAnsi="Times New Roman" w:cs="Times New Roman"/>
                <w:sz w:val="24"/>
                <w:szCs w:val="24"/>
              </w:rPr>
              <w:t xml:space="preserve"> marketing + </w:t>
            </w:r>
            <w:proofErr w:type="spellStart"/>
            <w:r>
              <w:rPr>
                <w:rFonts w:ascii="Times New Roman" w:eastAsia="Times New Roman" w:hAnsi="Times New Roman" w:cs="Times New Roman"/>
                <w:sz w:val="24"/>
                <w:szCs w:val="24"/>
              </w:rPr>
              <w:t>purchasing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decisions</w:t>
            </w:r>
            <w:proofErr w:type="spellEnd"/>
          </w:p>
        </w:tc>
        <w:tc>
          <w:tcPr>
            <w:tcW w:w="94.50pt" w:type="dxa"/>
            <w:tcBorders>
              <w:top w:val="single" w:sz="6" w:space="0" w:color="FFFFFF"/>
              <w:start w:val="single" w:sz="6" w:space="0" w:color="FFFFFF"/>
              <w:bottom w:val="single" w:sz="6" w:space="0" w:color="000000"/>
              <w:end w:val="single" w:sz="6" w:space="0" w:color="FFFFFF"/>
            </w:tcBorders>
            <w:tcMar>
              <w:top w:w="0pt" w:type="dxa"/>
              <w:start w:w="2pt" w:type="dxa"/>
              <w:bottom w:w="0pt" w:type="dxa"/>
              <w:end w:w="2pt" w:type="dxa"/>
            </w:tcMar>
            <w:vAlign w:val="center"/>
          </w:tcPr>
          <w:p w14:paraId="0DADCE8F" w14:textId="77777777" w:rsidR="00D51211" w:rsidRPr="00AF2E30" w:rsidRDefault="00D51211" w:rsidP="00654BC5">
            <w:pPr>
              <w:widowControl w:val="0"/>
              <w:spacing w:line="18pt" w:lineRule="auto"/>
              <w:jc w:val="center"/>
              <w:rPr>
                <w:rFonts w:ascii="Times New Roman" w:eastAsia="Times New Roman" w:hAnsi="Times New Roman" w:cs="Times New Roman"/>
                <w:sz w:val="24"/>
                <w:szCs w:val="24"/>
                <w:lang w:val="pt-BR"/>
              </w:rPr>
            </w:pPr>
            <w:r w:rsidRPr="00AF2E30">
              <w:rPr>
                <w:rFonts w:ascii="Times New Roman" w:eastAsia="Times New Roman" w:hAnsi="Times New Roman" w:cs="Times New Roman"/>
                <w:sz w:val="24"/>
                <w:szCs w:val="24"/>
                <w:lang w:val="pt-BR"/>
              </w:rPr>
              <w:t>Marketing influenciador + decisões de compra</w:t>
            </w:r>
          </w:p>
        </w:tc>
      </w:tr>
    </w:tbl>
    <w:p w14:paraId="469CF1CA" w14:textId="77777777" w:rsidR="00D51211" w:rsidRDefault="00D51211" w:rsidP="00D51211">
      <w:pPr>
        <w:widowControl w:val="0"/>
        <w:spacing w:after="12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Fuente: Elaboración Propia</w:t>
      </w:r>
    </w:p>
    <w:p w14:paraId="0DF4A794" w14:textId="77777777" w:rsidR="00D51211" w:rsidRDefault="00D51211" w:rsidP="00D51211">
      <w:pPr>
        <w:widowControl w:val="0"/>
        <w:spacing w:before="12pt" w:after="12pt" w:line="18pt"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Tabla 2: </w:t>
      </w:r>
    </w:p>
    <w:p w14:paraId="7DCDA065" w14:textId="2E96415F" w:rsidR="00D51211" w:rsidRDefault="00D51211" w:rsidP="00D51211">
      <w:pPr>
        <w:widowControl w:val="0"/>
        <w:spacing w:before="12pt" w:after="12pt" w:line="18pt"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Base de datos </w:t>
      </w:r>
      <w:r w:rsidR="00E023C8">
        <w:rPr>
          <w:rFonts w:ascii="Times New Roman" w:eastAsia="Times New Roman" w:hAnsi="Times New Roman" w:cs="Times New Roman"/>
          <w:i/>
          <w:sz w:val="24"/>
          <w:szCs w:val="24"/>
        </w:rPr>
        <w:t>y etapas</w:t>
      </w:r>
      <w:r>
        <w:rPr>
          <w:rFonts w:ascii="Times New Roman" w:eastAsia="Times New Roman" w:hAnsi="Times New Roman" w:cs="Times New Roman"/>
          <w:i/>
          <w:sz w:val="24"/>
          <w:szCs w:val="24"/>
        </w:rPr>
        <w:t xml:space="preserve"> de la revisión </w:t>
      </w:r>
    </w:p>
    <w:tbl>
      <w:tblPr>
        <w:tblW w:w="428.25pt" w:type="dxa"/>
        <w:tblBorders>
          <w:top w:val="nil"/>
          <w:start w:val="nil"/>
          <w:bottom w:val="single" w:sz="4" w:space="0" w:color="000000"/>
          <w:end w:val="nil"/>
          <w:insideH w:val="nil"/>
          <w:insideV w:val="nil"/>
        </w:tblBorders>
        <w:tblLayout w:type="fixed"/>
        <w:tblLook w:firstRow="0" w:lastRow="0" w:firstColumn="0" w:lastColumn="0" w:noHBand="0" w:noVBand="1"/>
      </w:tblPr>
      <w:tblGrid>
        <w:gridCol w:w="945"/>
        <w:gridCol w:w="1275"/>
        <w:gridCol w:w="870"/>
        <w:gridCol w:w="780"/>
        <w:gridCol w:w="750"/>
        <w:gridCol w:w="795"/>
        <w:gridCol w:w="1035"/>
        <w:gridCol w:w="1080"/>
        <w:gridCol w:w="1035"/>
      </w:tblGrid>
      <w:tr w:rsidR="00D51211" w14:paraId="757E66EA" w14:textId="77777777" w:rsidTr="00654BC5">
        <w:tc>
          <w:tcPr>
            <w:tcW w:w="47.25pt" w:type="dxa"/>
            <w:tcBorders>
              <w:top w:val="single" w:sz="4" w:space="0" w:color="000000"/>
              <w:bottom w:val="single" w:sz="4" w:space="0" w:color="000000"/>
            </w:tcBorders>
          </w:tcPr>
          <w:p w14:paraId="548F3568" w14:textId="77777777" w:rsidR="00D51211" w:rsidRDefault="00D51211" w:rsidP="00654BC5">
            <w:pPr>
              <w:spacing w:line="18pt"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Base de datos</w:t>
            </w:r>
          </w:p>
        </w:tc>
        <w:tc>
          <w:tcPr>
            <w:tcW w:w="63.75pt" w:type="dxa"/>
            <w:tcBorders>
              <w:top w:val="single" w:sz="4" w:space="0" w:color="000000"/>
              <w:bottom w:val="single" w:sz="4" w:space="0" w:color="000000"/>
            </w:tcBorders>
          </w:tcPr>
          <w:p w14:paraId="1500B438" w14:textId="77777777" w:rsidR="00D51211" w:rsidRDefault="00D51211" w:rsidP="00654BC5">
            <w:pPr>
              <w:spacing w:line="18pt"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1era Etapa Resultados</w:t>
            </w:r>
          </w:p>
        </w:tc>
        <w:tc>
          <w:tcPr>
            <w:tcW w:w="43.50pt" w:type="dxa"/>
            <w:tcBorders>
              <w:top w:val="single" w:sz="4" w:space="0" w:color="000000"/>
              <w:bottom w:val="single" w:sz="4" w:space="0" w:color="000000"/>
            </w:tcBorders>
          </w:tcPr>
          <w:p w14:paraId="570E8F3A" w14:textId="77777777" w:rsidR="00D51211" w:rsidRDefault="00D51211" w:rsidP="00654BC5">
            <w:pPr>
              <w:spacing w:line="18pt"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2da Etapa Acceso</w:t>
            </w:r>
          </w:p>
        </w:tc>
        <w:tc>
          <w:tcPr>
            <w:tcW w:w="39pt" w:type="dxa"/>
            <w:tcBorders>
              <w:top w:val="single" w:sz="4" w:space="0" w:color="000000"/>
              <w:bottom w:val="single" w:sz="4" w:space="0" w:color="000000"/>
            </w:tcBorders>
          </w:tcPr>
          <w:p w14:paraId="64997777" w14:textId="77777777" w:rsidR="00D51211" w:rsidRDefault="00D51211" w:rsidP="00654BC5">
            <w:pPr>
              <w:spacing w:line="18pt"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3era Etapa Tipo</w:t>
            </w:r>
          </w:p>
        </w:tc>
        <w:tc>
          <w:tcPr>
            <w:tcW w:w="37.50pt" w:type="dxa"/>
            <w:tcBorders>
              <w:top w:val="single" w:sz="4" w:space="0" w:color="000000"/>
              <w:bottom w:val="single" w:sz="4" w:space="0" w:color="000000"/>
            </w:tcBorders>
          </w:tcPr>
          <w:p w14:paraId="6E88F070" w14:textId="77777777" w:rsidR="00D51211" w:rsidRDefault="00D51211" w:rsidP="00654BC5">
            <w:pPr>
              <w:spacing w:line="18pt"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4ta Etapa Año</w:t>
            </w:r>
          </w:p>
        </w:tc>
        <w:tc>
          <w:tcPr>
            <w:tcW w:w="39.75pt" w:type="dxa"/>
            <w:tcBorders>
              <w:top w:val="single" w:sz="4" w:space="0" w:color="000000"/>
              <w:bottom w:val="single" w:sz="4" w:space="0" w:color="000000"/>
            </w:tcBorders>
          </w:tcPr>
          <w:p w14:paraId="167CDB39" w14:textId="77777777" w:rsidR="00D51211" w:rsidRDefault="00D51211" w:rsidP="00654BC5">
            <w:pPr>
              <w:spacing w:line="18pt"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5ta Etapa región</w:t>
            </w:r>
          </w:p>
        </w:tc>
        <w:tc>
          <w:tcPr>
            <w:tcW w:w="51.75pt" w:type="dxa"/>
            <w:tcBorders>
              <w:top w:val="single" w:sz="4" w:space="0" w:color="000000"/>
              <w:bottom w:val="single" w:sz="4" w:space="0" w:color="000000"/>
            </w:tcBorders>
          </w:tcPr>
          <w:p w14:paraId="4EF2C7CA" w14:textId="77777777" w:rsidR="00D51211" w:rsidRDefault="00D51211" w:rsidP="00654BC5">
            <w:pPr>
              <w:spacing w:line="18pt"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6ta Etapa Temática</w:t>
            </w:r>
          </w:p>
        </w:tc>
        <w:tc>
          <w:tcPr>
            <w:tcW w:w="54pt" w:type="dxa"/>
            <w:tcBorders>
              <w:top w:val="single" w:sz="4" w:space="0" w:color="000000"/>
              <w:bottom w:val="single" w:sz="4" w:space="0" w:color="000000"/>
            </w:tcBorders>
          </w:tcPr>
          <w:p w14:paraId="52E75F0F" w14:textId="77777777" w:rsidR="00D51211" w:rsidRDefault="00D51211" w:rsidP="00654BC5">
            <w:pPr>
              <w:spacing w:line="18pt"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7ma Etapa Objetivos</w:t>
            </w:r>
          </w:p>
        </w:tc>
        <w:tc>
          <w:tcPr>
            <w:tcW w:w="51.75pt" w:type="dxa"/>
            <w:tcBorders>
              <w:top w:val="single" w:sz="4" w:space="0" w:color="000000"/>
              <w:bottom w:val="single" w:sz="4" w:space="0" w:color="000000"/>
            </w:tcBorders>
          </w:tcPr>
          <w:p w14:paraId="113691A7" w14:textId="77777777" w:rsidR="00D51211" w:rsidRDefault="00D51211" w:rsidP="00654BC5">
            <w:pPr>
              <w:spacing w:line="18pt"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Artículos Finales</w:t>
            </w:r>
          </w:p>
        </w:tc>
      </w:tr>
      <w:tr w:rsidR="00D51211" w14:paraId="6107A37D" w14:textId="77777777" w:rsidTr="00654BC5">
        <w:tc>
          <w:tcPr>
            <w:tcW w:w="47.25pt" w:type="dxa"/>
            <w:tcBorders>
              <w:top w:val="single" w:sz="4" w:space="0" w:color="000000"/>
            </w:tcBorders>
          </w:tcPr>
          <w:p w14:paraId="0D3F2881"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Web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Science</w:t>
            </w:r>
            <w:proofErr w:type="spellEnd"/>
          </w:p>
        </w:tc>
        <w:tc>
          <w:tcPr>
            <w:tcW w:w="63.75pt" w:type="dxa"/>
            <w:tcBorders>
              <w:top w:val="single" w:sz="4" w:space="0" w:color="000000"/>
            </w:tcBorders>
          </w:tcPr>
          <w:p w14:paraId="4B019C54"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2351</w:t>
            </w:r>
          </w:p>
        </w:tc>
        <w:tc>
          <w:tcPr>
            <w:tcW w:w="43.50pt" w:type="dxa"/>
            <w:tcBorders>
              <w:top w:val="single" w:sz="4" w:space="0" w:color="000000"/>
            </w:tcBorders>
          </w:tcPr>
          <w:p w14:paraId="17D71697"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1302</w:t>
            </w:r>
          </w:p>
        </w:tc>
        <w:tc>
          <w:tcPr>
            <w:tcW w:w="39pt" w:type="dxa"/>
            <w:tcBorders>
              <w:top w:val="single" w:sz="4" w:space="0" w:color="000000"/>
            </w:tcBorders>
          </w:tcPr>
          <w:p w14:paraId="318A4AB1"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1888</w:t>
            </w:r>
          </w:p>
        </w:tc>
        <w:tc>
          <w:tcPr>
            <w:tcW w:w="37.50pt" w:type="dxa"/>
            <w:tcBorders>
              <w:top w:val="single" w:sz="4" w:space="0" w:color="000000"/>
            </w:tcBorders>
          </w:tcPr>
          <w:p w14:paraId="216025BF"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853</w:t>
            </w:r>
          </w:p>
        </w:tc>
        <w:tc>
          <w:tcPr>
            <w:tcW w:w="39.75pt" w:type="dxa"/>
            <w:tcBorders>
              <w:top w:val="single" w:sz="4" w:space="0" w:color="000000"/>
            </w:tcBorders>
          </w:tcPr>
          <w:p w14:paraId="0094C1C5"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51.75pt" w:type="dxa"/>
            <w:tcBorders>
              <w:top w:val="single" w:sz="4" w:space="0" w:color="000000"/>
            </w:tcBorders>
          </w:tcPr>
          <w:p w14:paraId="65DA4A93"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54pt" w:type="dxa"/>
            <w:tcBorders>
              <w:top w:val="single" w:sz="4" w:space="0" w:color="000000"/>
            </w:tcBorders>
          </w:tcPr>
          <w:p w14:paraId="026BE976"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1.75pt" w:type="dxa"/>
            <w:vMerge w:val="restart"/>
            <w:tcBorders>
              <w:top w:val="single" w:sz="4" w:space="0" w:color="000000"/>
            </w:tcBorders>
          </w:tcPr>
          <w:p w14:paraId="00E7FCB5" w14:textId="77777777" w:rsidR="00D51211" w:rsidRDefault="00D51211" w:rsidP="00654BC5">
            <w:pPr>
              <w:spacing w:line="18pt" w:lineRule="auto"/>
              <w:jc w:val="center"/>
              <w:rPr>
                <w:rFonts w:ascii="Times New Roman" w:eastAsia="Times New Roman" w:hAnsi="Times New Roman" w:cs="Times New Roman"/>
                <w:sz w:val="24"/>
                <w:szCs w:val="24"/>
              </w:rPr>
            </w:pPr>
          </w:p>
          <w:p w14:paraId="5ED65F01"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D51211" w14:paraId="381B5D19" w14:textId="77777777" w:rsidTr="00654BC5">
        <w:tc>
          <w:tcPr>
            <w:tcW w:w="47.25pt" w:type="dxa"/>
          </w:tcPr>
          <w:p w14:paraId="7D17E25A" w14:textId="77777777" w:rsidR="00D51211" w:rsidRDefault="00D51211" w:rsidP="00654BC5">
            <w:pPr>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Scopus</w:t>
            </w:r>
            <w:proofErr w:type="spellEnd"/>
          </w:p>
        </w:tc>
        <w:tc>
          <w:tcPr>
            <w:tcW w:w="63.75pt" w:type="dxa"/>
          </w:tcPr>
          <w:p w14:paraId="18537EC6"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3721</w:t>
            </w:r>
          </w:p>
        </w:tc>
        <w:tc>
          <w:tcPr>
            <w:tcW w:w="43.50pt" w:type="dxa"/>
          </w:tcPr>
          <w:p w14:paraId="563330F1"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1205</w:t>
            </w:r>
          </w:p>
        </w:tc>
        <w:tc>
          <w:tcPr>
            <w:tcW w:w="39pt" w:type="dxa"/>
          </w:tcPr>
          <w:p w14:paraId="04E9848A"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958</w:t>
            </w:r>
          </w:p>
        </w:tc>
        <w:tc>
          <w:tcPr>
            <w:tcW w:w="37.50pt" w:type="dxa"/>
          </w:tcPr>
          <w:p w14:paraId="0D8E66B2"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tc>
        <w:tc>
          <w:tcPr>
            <w:tcW w:w="39.75pt" w:type="dxa"/>
          </w:tcPr>
          <w:p w14:paraId="2B0675DC"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51.75pt" w:type="dxa"/>
          </w:tcPr>
          <w:p w14:paraId="31E43F6E"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4pt" w:type="dxa"/>
          </w:tcPr>
          <w:p w14:paraId="1C6235E1"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75pt" w:type="dxa"/>
            <w:vMerge/>
            <w:tcBorders>
              <w:top w:val="single" w:sz="4" w:space="0" w:color="000000"/>
            </w:tcBorders>
          </w:tcPr>
          <w:p w14:paraId="7EB9C72F" w14:textId="77777777" w:rsidR="00D51211" w:rsidRDefault="00D51211" w:rsidP="00654BC5">
            <w:pPr>
              <w:widowControl w:val="0"/>
              <w:spacing w:line="18pt" w:lineRule="auto"/>
              <w:rPr>
                <w:rFonts w:ascii="Times New Roman" w:eastAsia="Times New Roman" w:hAnsi="Times New Roman" w:cs="Times New Roman"/>
                <w:sz w:val="24"/>
                <w:szCs w:val="24"/>
              </w:rPr>
            </w:pPr>
          </w:p>
        </w:tc>
      </w:tr>
    </w:tbl>
    <w:p w14:paraId="0CCF47D9" w14:textId="77777777" w:rsidR="00D51211" w:rsidRDefault="00D51211" w:rsidP="00D51211">
      <w:pPr>
        <w:widowControl w:val="0"/>
        <w:spacing w:after="12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Fuente: Elaboración Propia</w:t>
      </w:r>
    </w:p>
    <w:p w14:paraId="0704196A" w14:textId="77777777" w:rsidR="00D51211" w:rsidRDefault="00D51211" w:rsidP="00D51211">
      <w:pPr>
        <w:widowControl w:val="0"/>
        <w:spacing w:before="12pt" w:after="12pt" w:line="18pt" w:lineRule="auto"/>
        <w:rPr>
          <w:rFonts w:ascii="Times New Roman" w:eastAsia="Times New Roman" w:hAnsi="Times New Roman" w:cs="Times New Roman"/>
          <w:b/>
          <w:sz w:val="24"/>
          <w:szCs w:val="24"/>
        </w:rPr>
      </w:pPr>
    </w:p>
    <w:p w14:paraId="434FB938" w14:textId="77777777" w:rsidR="00D51211" w:rsidRDefault="00D51211" w:rsidP="00D51211">
      <w:pPr>
        <w:widowControl w:val="0"/>
        <w:spacing w:before="12pt" w:after="12pt" w:line="18pt"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Figura 1: </w:t>
      </w:r>
      <w:r>
        <w:rPr>
          <w:rFonts w:ascii="Times New Roman" w:eastAsia="Times New Roman" w:hAnsi="Times New Roman" w:cs="Times New Roman"/>
          <w:i/>
          <w:sz w:val="24"/>
          <w:szCs w:val="24"/>
        </w:rPr>
        <w:t>Diagrama de flujo del método PRISMA</w:t>
      </w:r>
    </w:p>
    <w:p w14:paraId="64817EA5" w14:textId="77777777" w:rsidR="00D51211" w:rsidRDefault="00D51211" w:rsidP="00D51211">
      <w:pPr>
        <w:widowControl w:val="0"/>
        <w:spacing w:line="18pt"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4A84E366" wp14:editId="707545D2">
            <wp:extent cx="4948005" cy="7756606"/>
            <wp:effectExtent l="0" t="0" r="0" b="0"/>
            <wp:docPr id="2" name="image1.jpg" descr="Diagrama&#10;&#10;Descripción generada automáticamente"/>
            <wp:cNvGraphicFramePr/>
            <a:graphic xmlns:a="http://purl.oclc.org/ooxml/drawingml/main">
              <a:graphicData uri="http://purl.oclc.org/ooxml/drawingml/picture">
                <pic:pic xmlns:pic="http://purl.oclc.org/ooxml/drawingml/picture">
                  <pic:nvPicPr>
                    <pic:cNvPr id="2" name="image1.jpg" descr="Diagrama&#10;&#10;Descripción generada automáticamente"/>
                    <pic:cNvPicPr preferRelativeResize="0"/>
                  </pic:nvPicPr>
                  <pic:blipFill>
                    <a:blip r:embed="rId25"/>
                    <a:srcRect/>
                    <a:stretch>
                      <a:fillRect/>
                    </a:stretch>
                  </pic:blipFill>
                  <pic:spPr>
                    <a:xfrm>
                      <a:off x="0" y="0"/>
                      <a:ext cx="4948005" cy="7756606"/>
                    </a:xfrm>
                    <a:prstGeom prst="rect">
                      <a:avLst/>
                    </a:prstGeom>
                    <a:ln/>
                  </pic:spPr>
                </pic:pic>
              </a:graphicData>
            </a:graphic>
          </wp:inline>
        </w:drawing>
      </w:r>
    </w:p>
    <w:p w14:paraId="56E46FF5" w14:textId="77777777" w:rsidR="00D51211" w:rsidRDefault="00D51211" w:rsidP="00D51211">
      <w:pPr>
        <w:widowControl w:val="0"/>
        <w:spacing w:line="18pt" w:lineRule="auto"/>
        <w:jc w:val="center"/>
        <w:rPr>
          <w:rFonts w:ascii="Times New Roman" w:eastAsia="Times New Roman" w:hAnsi="Times New Roman" w:cs="Times New Roman"/>
          <w:b/>
          <w:sz w:val="24"/>
          <w:szCs w:val="24"/>
        </w:rPr>
      </w:pPr>
    </w:p>
    <w:p w14:paraId="14A7F90D" w14:textId="77777777" w:rsidR="00D51211" w:rsidRDefault="00D51211" w:rsidP="00D51211">
      <w:pPr>
        <w:widowControl w:val="0"/>
        <w:spacing w:before="12pt"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Para llevar a cabo nuestra investigación, definimos criterios específicos que nos facilitan la revisión de diferentes estudios, la selección e inclusión de aquellos pertinentes a nuestro tema de investigación, y la exclusión de aquellos que no cumplían con ciertas condiciones necesarias. Los criterios de inclusión y exclusión fueron los siguientes:</w:t>
      </w:r>
    </w:p>
    <w:p w14:paraId="0B0A228C" w14:textId="77777777" w:rsidR="00D51211" w:rsidRDefault="00D51211" w:rsidP="00D51211">
      <w:pPr>
        <w:widowControl w:val="0"/>
        <w:spacing w:before="12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Inclusión:</w:t>
      </w:r>
    </w:p>
    <w:p w14:paraId="1EDBF887" w14:textId="77777777" w:rsidR="00D51211" w:rsidRDefault="00D51211" w:rsidP="00D51211">
      <w:pPr>
        <w:widowControl w:val="0"/>
        <w:numPr>
          <w:ilvl w:val="0"/>
          <w:numId w:val="6"/>
        </w:numPr>
        <w:spacing w:after="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tipo de documento es un artículo de investigación.</w:t>
      </w:r>
    </w:p>
    <w:p w14:paraId="77DA1833" w14:textId="77777777" w:rsidR="00D51211" w:rsidRDefault="00D51211" w:rsidP="00D51211">
      <w:pPr>
        <w:widowControl w:val="0"/>
        <w:numPr>
          <w:ilvl w:val="0"/>
          <w:numId w:val="6"/>
        </w:numPr>
        <w:spacing w:after="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artículo debe estar escrito en inglés, español o portugués</w:t>
      </w:r>
    </w:p>
    <w:p w14:paraId="04DF4F79" w14:textId="77777777" w:rsidR="00D51211" w:rsidRDefault="00D51211" w:rsidP="00D51211">
      <w:pPr>
        <w:widowControl w:val="0"/>
        <w:numPr>
          <w:ilvl w:val="0"/>
          <w:numId w:val="6"/>
        </w:numPr>
        <w:spacing w:after="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año de publicación del artículo debe estar comprendido entre 2020 y 2024.</w:t>
      </w:r>
    </w:p>
    <w:p w14:paraId="05F87AA6" w14:textId="77777777" w:rsidR="00D51211" w:rsidRDefault="00D51211" w:rsidP="00D51211">
      <w:pPr>
        <w:widowControl w:val="0"/>
        <w:numPr>
          <w:ilvl w:val="0"/>
          <w:numId w:val="6"/>
        </w:numPr>
        <w:spacing w:after="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país de estudio debe ser Estados Unidos.</w:t>
      </w:r>
    </w:p>
    <w:p w14:paraId="2885F3CB" w14:textId="77777777" w:rsidR="00D51211" w:rsidRDefault="00D51211" w:rsidP="00D51211">
      <w:pPr>
        <w:widowControl w:val="0"/>
        <w:numPr>
          <w:ilvl w:val="0"/>
          <w:numId w:val="6"/>
        </w:numPr>
        <w:spacing w:after="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estudio está relacionado con el área de negocios</w:t>
      </w:r>
    </w:p>
    <w:p w14:paraId="35E68325" w14:textId="77777777" w:rsidR="00D51211" w:rsidRDefault="00D51211" w:rsidP="00D51211">
      <w:pPr>
        <w:widowControl w:val="0"/>
        <w:numPr>
          <w:ilvl w:val="0"/>
          <w:numId w:val="6"/>
        </w:numPr>
        <w:spacing w:after="12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objetivo principal del artículo es la satisfacción del cliente.</w:t>
      </w:r>
    </w:p>
    <w:p w14:paraId="6741F875" w14:textId="77777777" w:rsidR="00D51211" w:rsidRDefault="00D51211" w:rsidP="00D51211">
      <w:pPr>
        <w:widowControl w:val="0"/>
        <w:spacing w:before="12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Exclusión:</w:t>
      </w:r>
    </w:p>
    <w:p w14:paraId="68E58E6C" w14:textId="77777777" w:rsidR="00D51211" w:rsidRDefault="00D51211" w:rsidP="00D51211">
      <w:pPr>
        <w:widowControl w:val="0"/>
        <w:numPr>
          <w:ilvl w:val="0"/>
          <w:numId w:val="5"/>
        </w:numPr>
        <w:spacing w:after="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estudio solo se publica como resumen</w:t>
      </w:r>
    </w:p>
    <w:p w14:paraId="4995B0FB" w14:textId="77777777" w:rsidR="00D51211" w:rsidRDefault="00D51211" w:rsidP="00D51211">
      <w:pPr>
        <w:widowControl w:val="0"/>
        <w:numPr>
          <w:ilvl w:val="0"/>
          <w:numId w:val="5"/>
        </w:numPr>
        <w:spacing w:after="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Temáticas que no estén relacionadas con el ámbito empresarial o negocios</w:t>
      </w:r>
    </w:p>
    <w:p w14:paraId="0EB36EAB" w14:textId="77777777" w:rsidR="00D51211" w:rsidRDefault="00D51211" w:rsidP="00D51211">
      <w:pPr>
        <w:widowControl w:val="0"/>
        <w:numPr>
          <w:ilvl w:val="0"/>
          <w:numId w:val="5"/>
        </w:numPr>
        <w:spacing w:after="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Artículos que no estén disponibles como acceso abierto.</w:t>
      </w:r>
    </w:p>
    <w:p w14:paraId="14A955AA" w14:textId="77777777" w:rsidR="00D51211" w:rsidRDefault="00D51211" w:rsidP="00D51211">
      <w:pPr>
        <w:widowControl w:val="0"/>
        <w:numPr>
          <w:ilvl w:val="0"/>
          <w:numId w:val="5"/>
        </w:numPr>
        <w:spacing w:after="0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Estudios que están duplicados o que tiene el mismo contenido e información de otro estudio incluido. </w:t>
      </w:r>
    </w:p>
    <w:p w14:paraId="3F480F6F" w14:textId="77777777" w:rsidR="00D51211" w:rsidRDefault="00D51211" w:rsidP="00D51211">
      <w:pPr>
        <w:widowControl w:val="0"/>
        <w:numPr>
          <w:ilvl w:val="0"/>
          <w:numId w:val="5"/>
        </w:numPr>
        <w:spacing w:after="12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Estudios con años previos a los que se está filtrando. </w:t>
      </w:r>
    </w:p>
    <w:bookmarkEnd w:id="7"/>
    <w:p w14:paraId="0C92082A" w14:textId="5E05D5CF" w:rsidR="00C139A9" w:rsidRDefault="00C139A9" w:rsidP="00D51211">
      <w:pPr>
        <w:spacing w:after="6pt" w:line="18pt" w:lineRule="auto"/>
        <w:jc w:val="center"/>
        <w:rPr>
          <w:rFonts w:ascii="Book Antiqua" w:hAnsi="Book Antiqua" w:cs="Times New Roman"/>
        </w:rPr>
      </w:pPr>
    </w:p>
    <w:p w14:paraId="0CB365DB" w14:textId="46AC55D4" w:rsidR="00D51211" w:rsidRDefault="00D51211" w:rsidP="00931FCC">
      <w:pPr>
        <w:spacing w:after="6pt" w:line="18pt" w:lineRule="auto"/>
        <w:ind w:firstLine="35.45pt"/>
        <w:jc w:val="center"/>
        <w:rPr>
          <w:rFonts w:ascii="Palatino Linotype" w:hAnsi="Palatino Linotype"/>
          <w:b/>
          <w:bCs/>
          <w:color w:val="00B050"/>
        </w:rPr>
      </w:pPr>
      <w:r>
        <w:rPr>
          <w:rFonts w:ascii="Palatino Linotype" w:hAnsi="Palatino Linotype"/>
          <w:b/>
          <w:bCs/>
          <w:color w:val="00B050"/>
        </w:rPr>
        <w:t>RESULTADOS</w:t>
      </w:r>
      <w:r w:rsidR="00FD7A27">
        <w:rPr>
          <w:rFonts w:ascii="Palatino Linotype" w:hAnsi="Palatino Linotype"/>
          <w:b/>
          <w:bCs/>
          <w:color w:val="00B050"/>
        </w:rPr>
        <w:t xml:space="preserve"> Y DISCUSIÓN</w:t>
      </w:r>
    </w:p>
    <w:p w14:paraId="61487F8F" w14:textId="77777777" w:rsidR="00D51211" w:rsidRDefault="00D51211" w:rsidP="00D51211">
      <w:pPr>
        <w:widowControl w:val="0"/>
        <w:spacing w:after="12pt" w:line="18pt" w:lineRule="auto"/>
        <w:ind w:firstLine="28.30pt"/>
        <w:jc w:val="both"/>
        <w:rPr>
          <w:rFonts w:ascii="Times New Roman" w:eastAsia="Times New Roman" w:hAnsi="Times New Roman" w:cs="Times New Roman"/>
          <w:b/>
          <w:sz w:val="24"/>
          <w:szCs w:val="24"/>
        </w:rPr>
      </w:pPr>
      <w:bookmarkStart w:id="8" w:name="_Hlk184634902"/>
      <w:r>
        <w:rPr>
          <w:rFonts w:ascii="Times New Roman" w:eastAsia="Times New Roman" w:hAnsi="Times New Roman" w:cs="Times New Roman"/>
          <w:sz w:val="24"/>
          <w:szCs w:val="24"/>
        </w:rPr>
        <w:t xml:space="preserve">Se formularon los objetivos en base a los 21 artículos seleccionados que serán expuestos en la investigación. </w:t>
      </w:r>
      <w:r>
        <w:rPr>
          <w:rFonts w:ascii="Times New Roman" w:eastAsia="Times New Roman" w:hAnsi="Times New Roman" w:cs="Times New Roman"/>
          <w:b/>
          <w:sz w:val="24"/>
          <w:szCs w:val="24"/>
        </w:rPr>
        <w:t>(Figura 1)</w:t>
      </w:r>
    </w:p>
    <w:p w14:paraId="35528371" w14:textId="77777777" w:rsidR="00D51211" w:rsidRDefault="00D51211" w:rsidP="00D51211">
      <w:pPr>
        <w:widowControl w:val="0"/>
        <w:spacing w:after="12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Características de los artículos</w:t>
      </w:r>
    </w:p>
    <w:p w14:paraId="7DC83441" w14:textId="25C5E612" w:rsidR="00D51211" w:rsidRDefault="00D51211" w:rsidP="00E023C8">
      <w:pPr>
        <w:widowControl w:val="0"/>
        <w:spacing w:after="12pt"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análisis de los resultados de los artículos utilizando el método PRISMA reveló </w:t>
      </w:r>
      <w:r>
        <w:rPr>
          <w:rFonts w:ascii="Times New Roman" w:eastAsia="Times New Roman" w:hAnsi="Times New Roman" w:cs="Times New Roman"/>
          <w:sz w:val="24"/>
          <w:szCs w:val="24"/>
        </w:rPr>
        <w:lastRenderedPageBreak/>
        <w:t>que toda la información recolectada proviene de 21 artículos presentes en la base de datos. Cabe destacar que todos estos artículos se originaron en Estados Unidos.</w:t>
      </w:r>
    </w:p>
    <w:p w14:paraId="04898C04" w14:textId="43837901" w:rsidR="00D51211" w:rsidRDefault="00D51211" w:rsidP="00D51211">
      <w:pPr>
        <w:widowControl w:val="0"/>
        <w:spacing w:after="12pt" w:line="18pt"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Objetivo </w:t>
      </w:r>
      <w:r w:rsidR="00E023C8">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Analizar las premisas conceptuales que mencionan la relación entre el marketing digital y las redes sociales</w:t>
      </w:r>
      <w:r>
        <w:rPr>
          <w:rFonts w:ascii="Times New Roman" w:eastAsia="Times New Roman" w:hAnsi="Times New Roman" w:cs="Times New Roman"/>
          <w:b/>
          <w:i/>
          <w:sz w:val="24"/>
          <w:szCs w:val="24"/>
        </w:rPr>
        <w:t>.</w:t>
      </w:r>
    </w:p>
    <w:p w14:paraId="2BCD263C" w14:textId="77777777" w:rsidR="00D51211" w:rsidRDefault="00D51211" w:rsidP="00D51211">
      <w:pPr>
        <w:widowControl w:val="0"/>
        <w:spacing w:after="12pt"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Después de analizar los 21 artículos seleccionados y realizar las premisas conceptuales de cada uno, se observa que los autores principales definen conceptos relacionados con el impacto del marketing digital y la eficiencia de las estrategias en las redes sociales. </w:t>
      </w:r>
      <w:proofErr w:type="spellStart"/>
      <w:r>
        <w:rPr>
          <w:rFonts w:ascii="Times New Roman" w:eastAsia="Times New Roman" w:hAnsi="Times New Roman" w:cs="Times New Roman"/>
          <w:sz w:val="24"/>
          <w:szCs w:val="24"/>
        </w:rPr>
        <w:t>Boerman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Kruikemeier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&amp;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Zuiderveen</w:t>
      </w:r>
      <w:proofErr w:type="spellEnd"/>
      <w:r>
        <w:rPr>
          <w:rFonts w:ascii="Times New Roman" w:eastAsia="Times New Roman" w:hAnsi="Times New Roman" w:cs="Times New Roman"/>
          <w:sz w:val="24"/>
          <w:szCs w:val="24"/>
        </w:rPr>
        <w:t>(2017) proponen una evolución en la planificación de medios, pasando de simplemente comprar exposición a promover el compromiso a través de interacciones significativas y sostenibles con los consumidores. Destacan la importancia de la medición en este proceso, señalando que una comprensión profunda del rendimiento es esencial para adaptar las estrategias de manera efectiva.</w:t>
      </w:r>
    </w:p>
    <w:p w14:paraId="784088C9" w14:textId="77777777" w:rsidR="00D51211" w:rsidRDefault="00D51211" w:rsidP="00D51211">
      <w:pPr>
        <w:widowControl w:val="0"/>
        <w:spacing w:after="12pt"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definición resalta la dinámica del impacto del marketing digital y la eficiencia de las estrategias en las redes sociales, subrayando cómo el éxito en este ámbito depende cada vez más de la capacidad de las marcas para involucrar y retener a su audiencia a través de contenido relevante y participativo.</w:t>
      </w:r>
    </w:p>
    <w:p w14:paraId="5ECC81AD" w14:textId="77777777" w:rsidR="00D51211" w:rsidRDefault="00D51211" w:rsidP="00D51211">
      <w:pPr>
        <w:widowControl w:val="0"/>
        <w:spacing w:after="12pt"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se concluye que los clientes son más influenciados por los mensajes de los proveedores transmitidos a través de las redes sociales que por las creencias compartidas sobre estas plataformas o lo que escuchan de otros clientes en línea (Huang, 2020). Este hallazgo subraya la importancia de una presencia estratégica y activa en las redes sociales, donde las marcas tienen la oportunidad de interactuar directamente con su público objetivo y generar confianza a través de la entrega de contenido valioso y personalizado.</w:t>
      </w:r>
    </w:p>
    <w:p w14:paraId="6697B106" w14:textId="77777777" w:rsidR="00D51211" w:rsidRDefault="00D51211" w:rsidP="00D51211">
      <w:pPr>
        <w:widowControl w:val="0"/>
        <w:spacing w:after="12pt" w:line="18pt" w:lineRule="auto"/>
        <w:jc w:val="both"/>
        <w:rPr>
          <w:rFonts w:ascii="Times New Roman" w:eastAsia="Times New Roman" w:hAnsi="Times New Roman" w:cs="Times New Roman"/>
          <w:sz w:val="24"/>
          <w:szCs w:val="24"/>
        </w:rPr>
      </w:pPr>
    </w:p>
    <w:p w14:paraId="1685E8CA" w14:textId="77777777" w:rsidR="00E023C8" w:rsidRDefault="00E023C8" w:rsidP="00D51211">
      <w:pPr>
        <w:widowControl w:val="0"/>
        <w:spacing w:after="12pt" w:line="18pt" w:lineRule="auto"/>
        <w:jc w:val="both"/>
        <w:rPr>
          <w:rFonts w:ascii="Times New Roman" w:eastAsia="Times New Roman" w:hAnsi="Times New Roman" w:cs="Times New Roman"/>
          <w:sz w:val="24"/>
          <w:szCs w:val="24"/>
        </w:rPr>
      </w:pPr>
    </w:p>
    <w:p w14:paraId="022F799E" w14:textId="77777777" w:rsidR="00E023C8" w:rsidRDefault="00E023C8" w:rsidP="00D51211">
      <w:pPr>
        <w:widowControl w:val="0"/>
        <w:spacing w:after="12pt" w:line="18pt" w:lineRule="auto"/>
        <w:jc w:val="both"/>
        <w:rPr>
          <w:rFonts w:ascii="Times New Roman" w:eastAsia="Times New Roman" w:hAnsi="Times New Roman" w:cs="Times New Roman"/>
          <w:sz w:val="24"/>
          <w:szCs w:val="24"/>
        </w:rPr>
      </w:pPr>
    </w:p>
    <w:p w14:paraId="69069B20" w14:textId="77777777" w:rsidR="00E023C8" w:rsidRDefault="00E023C8" w:rsidP="00D51211">
      <w:pPr>
        <w:widowControl w:val="0"/>
        <w:spacing w:after="12pt" w:line="18pt" w:lineRule="auto"/>
        <w:jc w:val="both"/>
        <w:rPr>
          <w:rFonts w:ascii="Times New Roman" w:eastAsia="Times New Roman" w:hAnsi="Times New Roman" w:cs="Times New Roman"/>
          <w:sz w:val="24"/>
          <w:szCs w:val="24"/>
        </w:rPr>
      </w:pPr>
    </w:p>
    <w:p w14:paraId="646F1196" w14:textId="77777777" w:rsidR="00D51211" w:rsidRDefault="00D51211" w:rsidP="00D51211">
      <w:pPr>
        <w:widowControl w:val="0"/>
        <w:spacing w:after="12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Tabla 1.</w:t>
      </w:r>
    </w:p>
    <w:p w14:paraId="1402A29A" w14:textId="77777777" w:rsidR="00D51211" w:rsidRDefault="00D51211" w:rsidP="00D51211">
      <w:pPr>
        <w:widowControl w:val="0"/>
        <w:spacing w:after="12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Premisas conceptuales de referentes teóricos</w:t>
      </w:r>
      <w:r>
        <w:rPr>
          <w:rFonts w:ascii="Times New Roman" w:eastAsia="Times New Roman" w:hAnsi="Times New Roman" w:cs="Times New Roman"/>
          <w:b/>
          <w:sz w:val="24"/>
          <w:szCs w:val="24"/>
        </w:rPr>
        <w:t xml:space="preserve"> </w:t>
      </w:r>
    </w:p>
    <w:p w14:paraId="4424B221" w14:textId="77777777" w:rsidR="00D51211" w:rsidRDefault="00D51211" w:rsidP="00D51211">
      <w:pPr>
        <w:widowControl w:val="0"/>
        <w:spacing w:line="18pt" w:lineRule="auto"/>
        <w:rPr>
          <w:rFonts w:ascii="Times New Roman" w:eastAsia="Times New Roman" w:hAnsi="Times New Roman" w:cs="Times New Roman"/>
          <w:sz w:val="24"/>
          <w:szCs w:val="24"/>
        </w:rPr>
      </w:pPr>
    </w:p>
    <w:tbl>
      <w:tblPr>
        <w:tblW w:w="490.50pt" w:type="dxa"/>
        <w:tblInd w:w="-26.20pt" w:type="dxa"/>
        <w:tblLayout w:type="fixed"/>
        <w:tblLook w:firstRow="0" w:lastRow="0" w:firstColumn="0" w:lastColumn="0" w:noHBand="0" w:noVBand="1"/>
      </w:tblPr>
      <w:tblGrid>
        <w:gridCol w:w="1695"/>
        <w:gridCol w:w="2190"/>
        <w:gridCol w:w="5925"/>
      </w:tblGrid>
      <w:tr w:rsidR="00D51211" w14:paraId="48CA273B" w14:textId="77777777" w:rsidTr="00654BC5">
        <w:trPr>
          <w:trHeight w:val="574"/>
        </w:trPr>
        <w:tc>
          <w:tcPr>
            <w:tcW w:w="84.75pt" w:type="dxa"/>
            <w:vMerge w:val="restart"/>
            <w:tcBorders>
              <w:top w:val="single" w:sz="6" w:space="0" w:color="000000"/>
              <w:start w:val="single" w:sz="6" w:space="0" w:color="CCCCCC"/>
              <w:bottom w:val="single" w:sz="6" w:space="0" w:color="000000"/>
              <w:end w:val="single" w:sz="6" w:space="0" w:color="CCCCCC"/>
            </w:tcBorders>
            <w:shd w:val="clear" w:color="auto" w:fill="auto"/>
            <w:tcMar>
              <w:top w:w="1.50pt" w:type="dxa"/>
              <w:start w:w="2.25pt" w:type="dxa"/>
              <w:bottom w:w="1.50pt" w:type="dxa"/>
              <w:end w:w="2.25pt" w:type="dxa"/>
            </w:tcMar>
            <w:vAlign w:val="center"/>
          </w:tcPr>
          <w:p w14:paraId="4ED28111"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AUTOR, AÑO</w:t>
            </w:r>
          </w:p>
        </w:tc>
        <w:tc>
          <w:tcPr>
            <w:tcW w:w="109.50pt" w:type="dxa"/>
            <w:vMerge w:val="restart"/>
            <w:tcBorders>
              <w:top w:val="single" w:sz="6" w:space="0" w:color="000000"/>
              <w:start w:val="single" w:sz="6" w:space="0" w:color="CCCCCC"/>
              <w:bottom w:val="single" w:sz="6" w:space="0" w:color="000000"/>
              <w:end w:val="single" w:sz="6" w:space="0" w:color="CCCCCC"/>
            </w:tcBorders>
            <w:shd w:val="clear" w:color="auto" w:fill="auto"/>
            <w:tcMar>
              <w:top w:w="1.50pt" w:type="dxa"/>
              <w:start w:w="2.25pt" w:type="dxa"/>
              <w:bottom w:w="1.50pt" w:type="dxa"/>
              <w:end w:w="2.25pt" w:type="dxa"/>
            </w:tcMar>
            <w:vAlign w:val="center"/>
          </w:tcPr>
          <w:p w14:paraId="7CAE4449"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REFERENTES TEÓRICOS</w:t>
            </w:r>
          </w:p>
        </w:tc>
        <w:tc>
          <w:tcPr>
            <w:tcW w:w="296.25pt" w:type="dxa"/>
            <w:vMerge w:val="restart"/>
            <w:tcBorders>
              <w:top w:val="single" w:sz="6" w:space="0" w:color="000000"/>
              <w:start w:val="single" w:sz="6" w:space="0" w:color="CCCCCC"/>
              <w:bottom w:val="single" w:sz="6" w:space="0" w:color="000000"/>
              <w:end w:val="single" w:sz="6" w:space="0" w:color="CCCCCC"/>
            </w:tcBorders>
            <w:shd w:val="clear" w:color="auto" w:fill="auto"/>
            <w:tcMar>
              <w:top w:w="1.50pt" w:type="dxa"/>
              <w:start w:w="2.25pt" w:type="dxa"/>
              <w:bottom w:w="1.50pt" w:type="dxa"/>
              <w:end w:w="2.25pt" w:type="dxa"/>
            </w:tcMar>
            <w:vAlign w:val="center"/>
          </w:tcPr>
          <w:p w14:paraId="447E9FED"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DEFINICIÓN</w:t>
            </w:r>
          </w:p>
        </w:tc>
      </w:tr>
      <w:tr w:rsidR="00D51211" w14:paraId="23606DA2" w14:textId="77777777" w:rsidTr="00654BC5">
        <w:trPr>
          <w:trHeight w:val="574"/>
        </w:trPr>
        <w:tc>
          <w:tcPr>
            <w:tcW w:w="84.75pt" w:type="dxa"/>
            <w:vMerge/>
            <w:tcBorders>
              <w:top w:val="single" w:sz="6" w:space="0" w:color="000000"/>
              <w:start w:val="single" w:sz="6" w:space="0" w:color="CCCCCC"/>
              <w:bottom w:val="single" w:sz="6" w:space="0" w:color="000000"/>
              <w:end w:val="single" w:sz="6" w:space="0" w:color="CCCCCC"/>
            </w:tcBorders>
            <w:shd w:val="clear" w:color="auto" w:fill="auto"/>
            <w:tcMar>
              <w:top w:w="1.50pt" w:type="dxa"/>
              <w:start w:w="2.25pt" w:type="dxa"/>
              <w:bottom w:w="1.50pt" w:type="dxa"/>
              <w:end w:w="2.25pt" w:type="dxa"/>
            </w:tcMar>
            <w:vAlign w:val="center"/>
          </w:tcPr>
          <w:p w14:paraId="0E4FDE00" w14:textId="77777777" w:rsidR="00D51211" w:rsidRDefault="00D51211" w:rsidP="00654BC5">
            <w:pPr>
              <w:widowControl w:val="0"/>
              <w:spacing w:line="18pt" w:lineRule="auto"/>
              <w:rPr>
                <w:rFonts w:ascii="Times New Roman" w:eastAsia="Times New Roman" w:hAnsi="Times New Roman" w:cs="Times New Roman"/>
                <w:sz w:val="24"/>
                <w:szCs w:val="24"/>
              </w:rPr>
            </w:pPr>
          </w:p>
        </w:tc>
        <w:tc>
          <w:tcPr>
            <w:tcW w:w="109.50pt" w:type="dxa"/>
            <w:vMerge/>
            <w:tcBorders>
              <w:top w:val="single" w:sz="6" w:space="0" w:color="000000"/>
              <w:start w:val="single" w:sz="6" w:space="0" w:color="CCCCCC"/>
              <w:bottom w:val="single" w:sz="6" w:space="0" w:color="000000"/>
              <w:end w:val="single" w:sz="6" w:space="0" w:color="CCCCCC"/>
            </w:tcBorders>
            <w:shd w:val="clear" w:color="auto" w:fill="auto"/>
            <w:tcMar>
              <w:top w:w="1.50pt" w:type="dxa"/>
              <w:start w:w="2.25pt" w:type="dxa"/>
              <w:bottom w:w="1.50pt" w:type="dxa"/>
              <w:end w:w="2.25pt" w:type="dxa"/>
            </w:tcMar>
            <w:vAlign w:val="center"/>
          </w:tcPr>
          <w:p w14:paraId="29045821" w14:textId="77777777" w:rsidR="00D51211" w:rsidRDefault="00D51211" w:rsidP="00654BC5">
            <w:pPr>
              <w:widowControl w:val="0"/>
              <w:spacing w:line="18pt" w:lineRule="auto"/>
              <w:rPr>
                <w:rFonts w:ascii="Times New Roman" w:eastAsia="Times New Roman" w:hAnsi="Times New Roman" w:cs="Times New Roman"/>
                <w:sz w:val="24"/>
                <w:szCs w:val="24"/>
              </w:rPr>
            </w:pPr>
          </w:p>
        </w:tc>
        <w:tc>
          <w:tcPr>
            <w:tcW w:w="296.25pt" w:type="dxa"/>
            <w:vMerge/>
            <w:tcBorders>
              <w:top w:val="single" w:sz="6" w:space="0" w:color="000000"/>
              <w:start w:val="single" w:sz="6" w:space="0" w:color="CCCCCC"/>
              <w:bottom w:val="single" w:sz="6" w:space="0" w:color="000000"/>
              <w:end w:val="single" w:sz="6" w:space="0" w:color="CCCCCC"/>
            </w:tcBorders>
            <w:shd w:val="clear" w:color="auto" w:fill="auto"/>
            <w:tcMar>
              <w:top w:w="1.50pt" w:type="dxa"/>
              <w:start w:w="2.25pt" w:type="dxa"/>
              <w:bottom w:w="1.50pt" w:type="dxa"/>
              <w:end w:w="2.25pt" w:type="dxa"/>
            </w:tcMar>
            <w:vAlign w:val="center"/>
          </w:tcPr>
          <w:p w14:paraId="26B5B152" w14:textId="77777777" w:rsidR="00D51211" w:rsidRDefault="00D51211" w:rsidP="00654BC5">
            <w:pPr>
              <w:widowControl w:val="0"/>
              <w:spacing w:line="18pt" w:lineRule="auto"/>
              <w:rPr>
                <w:rFonts w:ascii="Times New Roman" w:eastAsia="Times New Roman" w:hAnsi="Times New Roman" w:cs="Times New Roman"/>
                <w:sz w:val="24"/>
                <w:szCs w:val="24"/>
              </w:rPr>
            </w:pPr>
          </w:p>
        </w:tc>
      </w:tr>
      <w:tr w:rsidR="00D51211" w14:paraId="42DF6261" w14:textId="77777777" w:rsidTr="00654BC5">
        <w:trPr>
          <w:trHeight w:val="915"/>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455AA755"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(Theo et al.,2020)</w:t>
            </w:r>
          </w:p>
        </w:tc>
        <w:tc>
          <w:tcPr>
            <w:tcW w:w="109.50pt" w:type="dxa"/>
            <w:tcBorders>
              <w:top w:val="single" w:sz="6" w:space="0" w:color="CCCCCC"/>
              <w:start w:val="single" w:sz="6" w:space="0" w:color="CCCCCC"/>
              <w:bottom w:val="single" w:sz="6" w:space="0" w:color="CCCCCC"/>
              <w:end w:val="single" w:sz="6" w:space="0" w:color="CCCCCC"/>
            </w:tcBorders>
            <w:shd w:val="clear" w:color="auto" w:fill="FFFFFF"/>
            <w:tcMar>
              <w:top w:w="1.50pt" w:type="dxa"/>
              <w:start w:w="2.25pt" w:type="dxa"/>
              <w:bottom w:w="1.50pt" w:type="dxa"/>
              <w:end w:w="2.25pt" w:type="dxa"/>
            </w:tcMar>
            <w:vAlign w:val="center"/>
          </w:tcPr>
          <w:p w14:paraId="41D24CA8"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Boerman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Kruikemeier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Zuiderveen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Borgesius</w:t>
            </w:r>
            <w:proofErr w:type="spellEnd"/>
            <w:r>
              <w:rPr>
                <w:rFonts w:ascii="Times New Roman" w:eastAsia="Times New Roman" w:hAnsi="Times New Roman" w:cs="Times New Roman"/>
                <w:sz w:val="24"/>
                <w:szCs w:val="24"/>
              </w:rPr>
              <w:t xml:space="preserve"> ,2017)</w:t>
            </w:r>
          </w:p>
        </w:tc>
        <w:tc>
          <w:tcPr>
            <w:tcW w:w="296.25pt" w:type="dxa"/>
            <w:tcBorders>
              <w:top w:val="single" w:sz="6" w:space="0" w:color="CCCCCC"/>
              <w:start w:val="single" w:sz="6" w:space="0" w:color="CCCCCC"/>
              <w:bottom w:val="single" w:sz="6" w:space="0" w:color="CCCCCC"/>
              <w:end w:val="single" w:sz="6" w:space="0" w:color="CCCCCC"/>
            </w:tcBorders>
            <w:shd w:val="clear" w:color="auto" w:fill="FFFFFF"/>
            <w:tcMar>
              <w:top w:w="1.50pt" w:type="dxa"/>
              <w:start w:w="2.25pt" w:type="dxa"/>
              <w:bottom w:w="1.50pt" w:type="dxa"/>
              <w:end w:w="2.25pt" w:type="dxa"/>
            </w:tcMar>
            <w:vAlign w:val="center"/>
          </w:tcPr>
          <w:p w14:paraId="3BD3AEA2"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interacción con los consumidores juega un papel central. Se enfoca en fomentar conversaciones significativas entre marcas y consumidores, facilitar interacciones en plataformas de voz y mensajería, y promover la participación de los consumidores en comunidades en línea.</w:t>
            </w:r>
          </w:p>
        </w:tc>
      </w:tr>
      <w:tr w:rsidR="00D51211" w14:paraId="652E89C3" w14:textId="77777777" w:rsidTr="00654BC5">
        <w:trPr>
          <w:trHeight w:val="607"/>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0ECE01CD"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(Jochen et al., 2021).</w:t>
            </w:r>
          </w:p>
        </w:tc>
        <w:tc>
          <w:tcPr>
            <w:tcW w:w="109.50pt" w:type="dxa"/>
            <w:tcBorders>
              <w:top w:val="single" w:sz="6" w:space="0" w:color="CCCCCC"/>
              <w:start w:val="single" w:sz="6" w:space="0" w:color="CCCCCC"/>
              <w:bottom w:val="single" w:sz="6" w:space="0" w:color="CCCCCC"/>
              <w:end w:val="single" w:sz="6" w:space="0" w:color="CCCCCC"/>
            </w:tcBorders>
            <w:shd w:val="clear" w:color="auto" w:fill="FFFFFF"/>
            <w:tcMar>
              <w:top w:w="1.50pt" w:type="dxa"/>
              <w:start w:w="2.25pt" w:type="dxa"/>
              <w:bottom w:w="1.50pt" w:type="dxa"/>
              <w:end w:w="2.25pt" w:type="dxa"/>
            </w:tcMar>
            <w:vAlign w:val="center"/>
          </w:tcPr>
          <w:p w14:paraId="1027D1CB"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Burnkrant</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Unnava</w:t>
            </w:r>
            <w:proofErr w:type="spellEnd"/>
            <w:r>
              <w:rPr>
                <w:rFonts w:ascii="Times New Roman" w:eastAsia="Times New Roman" w:hAnsi="Times New Roman" w:cs="Times New Roman"/>
                <w:sz w:val="24"/>
                <w:szCs w:val="24"/>
              </w:rPr>
              <w:t xml:space="preserve"> ,1995)</w:t>
            </w:r>
          </w:p>
        </w:tc>
        <w:tc>
          <w:tcPr>
            <w:tcW w:w="296.25pt" w:type="dxa"/>
            <w:tcBorders>
              <w:top w:val="single" w:sz="6" w:space="0" w:color="CCCCCC"/>
              <w:start w:val="single" w:sz="6" w:space="0" w:color="CCCCCC"/>
              <w:bottom w:val="single" w:sz="6" w:space="0" w:color="CCCCCC"/>
              <w:end w:val="single" w:sz="6" w:space="0" w:color="CCCCCC"/>
            </w:tcBorders>
            <w:shd w:val="clear" w:color="auto" w:fill="FFFFFF"/>
            <w:tcMar>
              <w:top w:w="1.50pt" w:type="dxa"/>
              <w:start w:w="2.25pt" w:type="dxa"/>
              <w:bottom w:w="1.50pt" w:type="dxa"/>
              <w:end w:w="2.25pt" w:type="dxa"/>
            </w:tcMar>
            <w:vAlign w:val="center"/>
          </w:tcPr>
          <w:p w14:paraId="62A814B0" w14:textId="209B9378"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 imágenes de marca en las redes sociales influyen en el compromiso de los usuarios y las intenciones de compra de diferentes maneras. Las imágenes de "</w:t>
            </w:r>
            <w:proofErr w:type="spellStart"/>
            <w:r>
              <w:rPr>
                <w:rFonts w:ascii="Times New Roman" w:eastAsia="Times New Roman" w:hAnsi="Times New Roman" w:cs="Times New Roman"/>
                <w:sz w:val="24"/>
                <w:szCs w:val="24"/>
              </w:rPr>
              <w:t>brand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selfies</w:t>
            </w:r>
            <w:proofErr w:type="spellEnd"/>
            <w:r>
              <w:rPr>
                <w:rFonts w:ascii="Times New Roman" w:eastAsia="Times New Roman" w:hAnsi="Times New Roman" w:cs="Times New Roman"/>
                <w:sz w:val="24"/>
                <w:szCs w:val="24"/>
              </w:rPr>
              <w:t xml:space="preserve">" (donde el consumidor no es </w:t>
            </w:r>
            <w:r w:rsidR="00E023C8">
              <w:rPr>
                <w:rFonts w:ascii="Times New Roman" w:eastAsia="Times New Roman" w:hAnsi="Times New Roman" w:cs="Times New Roman"/>
                <w:sz w:val="24"/>
                <w:szCs w:val="24"/>
              </w:rPr>
              <w:t>visible,</w:t>
            </w:r>
            <w:r>
              <w:rPr>
                <w:rFonts w:ascii="Times New Roman" w:eastAsia="Times New Roman" w:hAnsi="Times New Roman" w:cs="Times New Roman"/>
                <w:sz w:val="24"/>
                <w:szCs w:val="24"/>
              </w:rPr>
              <w:t xml:space="preserve"> pero sostiene el producto) generan más compromiso con la marca y mayores intenciones de compra, mientras que las imágenes de "</w:t>
            </w:r>
            <w:proofErr w:type="spellStart"/>
            <w:r>
              <w:rPr>
                <w:rFonts w:ascii="Times New Roman" w:eastAsia="Times New Roman" w:hAnsi="Times New Roman" w:cs="Times New Roman"/>
                <w:sz w:val="24"/>
                <w:szCs w:val="24"/>
              </w:rPr>
              <w:t>consumer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selfies</w:t>
            </w:r>
            <w:proofErr w:type="spellEnd"/>
            <w:r>
              <w:rPr>
                <w:rFonts w:ascii="Times New Roman" w:eastAsia="Times New Roman" w:hAnsi="Times New Roman" w:cs="Times New Roman"/>
                <w:sz w:val="24"/>
                <w:szCs w:val="24"/>
              </w:rPr>
              <w:t>" (donde el consumidor es visible junto al producto) reciben más interacción del remitente (</w:t>
            </w:r>
            <w:proofErr w:type="spellStart"/>
            <w:r>
              <w:rPr>
                <w:rFonts w:ascii="Times New Roman" w:eastAsia="Times New Roman" w:hAnsi="Times New Roman" w:cs="Times New Roman"/>
                <w:sz w:val="24"/>
                <w:szCs w:val="24"/>
              </w:rPr>
              <w:t>likes</w:t>
            </w:r>
            <w:proofErr w:type="spellEnd"/>
            <w:r>
              <w:rPr>
                <w:rFonts w:ascii="Times New Roman" w:eastAsia="Times New Roman" w:hAnsi="Times New Roman" w:cs="Times New Roman"/>
                <w:sz w:val="24"/>
                <w:szCs w:val="24"/>
              </w:rPr>
              <w:t xml:space="preserve"> y comentarios).</w:t>
            </w:r>
          </w:p>
        </w:tc>
      </w:tr>
      <w:tr w:rsidR="00D51211" w14:paraId="58CAAA33" w14:textId="77777777" w:rsidTr="00654BC5">
        <w:trPr>
          <w:trHeight w:val="810"/>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4567F846" w14:textId="77777777" w:rsidR="00D51211" w:rsidRDefault="00D51211" w:rsidP="00654BC5">
            <w:pPr>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Herhausen</w:t>
            </w:r>
            <w:proofErr w:type="spellEnd"/>
            <w:r>
              <w:rPr>
                <w:rFonts w:ascii="Times New Roman" w:eastAsia="Times New Roman" w:hAnsi="Times New Roman" w:cs="Times New Roman"/>
                <w:sz w:val="24"/>
                <w:szCs w:val="24"/>
              </w:rPr>
              <w:t xml:space="preserve"> et al .,(2022)</w:t>
            </w:r>
          </w:p>
        </w:tc>
        <w:tc>
          <w:tcPr>
            <w:tcW w:w="109.50pt" w:type="dxa"/>
            <w:tcBorders>
              <w:top w:val="single" w:sz="6" w:space="0" w:color="CCCCCC"/>
              <w:start w:val="single" w:sz="6" w:space="0" w:color="CCCCCC"/>
              <w:bottom w:val="single" w:sz="6" w:space="0" w:color="CCCCCC"/>
              <w:end w:val="single" w:sz="6" w:space="0" w:color="CCCCCC"/>
            </w:tcBorders>
            <w:shd w:val="clear" w:color="auto" w:fill="FFFFFF"/>
            <w:tcMar>
              <w:top w:w="1.50pt" w:type="dxa"/>
              <w:start w:w="2.25pt" w:type="dxa"/>
              <w:bottom w:w="1.50pt" w:type="dxa"/>
              <w:end w:w="2.25pt" w:type="dxa"/>
            </w:tcMar>
            <w:vAlign w:val="center"/>
          </w:tcPr>
          <w:p w14:paraId="40AC67A0"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Vecchi</w:t>
            </w:r>
            <w:proofErr w:type="spellEnd"/>
            <w:r>
              <w:rPr>
                <w:rFonts w:ascii="Times New Roman" w:eastAsia="Times New Roman" w:hAnsi="Times New Roman" w:cs="Times New Roman"/>
                <w:sz w:val="24"/>
                <w:szCs w:val="24"/>
              </w:rPr>
              <w:t xml:space="preserve"> et al., 2005)</w:t>
            </w:r>
          </w:p>
        </w:tc>
        <w:tc>
          <w:tcPr>
            <w:tcW w:w="296.25pt" w:type="dxa"/>
            <w:tcBorders>
              <w:top w:val="single" w:sz="6" w:space="0" w:color="CCCCCC"/>
              <w:start w:val="single" w:sz="6" w:space="0" w:color="CCCCCC"/>
              <w:bottom w:val="single" w:sz="6" w:space="0" w:color="CCCCCC"/>
              <w:end w:val="single" w:sz="6" w:space="0" w:color="CCCCCC"/>
            </w:tcBorders>
            <w:shd w:val="clear" w:color="auto" w:fill="FFFFFF"/>
            <w:tcMar>
              <w:top w:w="1.50pt" w:type="dxa"/>
              <w:start w:w="2.25pt" w:type="dxa"/>
              <w:bottom w:w="1.50pt" w:type="dxa"/>
              <w:end w:w="2.25pt" w:type="dxa"/>
            </w:tcMar>
            <w:vAlign w:val="center"/>
          </w:tcPr>
          <w:p w14:paraId="311048EE" w14:textId="292C7C10"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Cómo </w:t>
            </w:r>
            <w:r w:rsidR="00E023C8">
              <w:rPr>
                <w:rFonts w:ascii="Times New Roman" w:eastAsia="Times New Roman" w:hAnsi="Times New Roman" w:cs="Times New Roman"/>
                <w:sz w:val="24"/>
                <w:szCs w:val="24"/>
              </w:rPr>
              <w:t xml:space="preserve">los </w:t>
            </w:r>
            <w:proofErr w:type="spellStart"/>
            <w:r w:rsidR="00E023C8">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de redes sociales obtienen capital de celebridad a través de prácticas generativas, colaborativas y evaluativas en un ecosistema publicitario </w:t>
            </w:r>
            <w:proofErr w:type="spellStart"/>
            <w:r>
              <w:rPr>
                <w:rFonts w:ascii="Times New Roman" w:eastAsia="Times New Roman" w:hAnsi="Times New Roman" w:cs="Times New Roman"/>
                <w:sz w:val="24"/>
                <w:szCs w:val="24"/>
              </w:rPr>
              <w:t>interconectado.Se</w:t>
            </w:r>
            <w:proofErr w:type="spellEnd"/>
            <w:r>
              <w:rPr>
                <w:rFonts w:ascii="Times New Roman" w:eastAsia="Times New Roman" w:hAnsi="Times New Roman" w:cs="Times New Roman"/>
                <w:sz w:val="24"/>
                <w:szCs w:val="24"/>
              </w:rPr>
              <w:t xml:space="preserve"> destaca el papel de los profesionales de la publicidad en este </w:t>
            </w:r>
            <w:r>
              <w:rPr>
                <w:rFonts w:ascii="Times New Roman" w:eastAsia="Times New Roman" w:hAnsi="Times New Roman" w:cs="Times New Roman"/>
                <w:sz w:val="24"/>
                <w:szCs w:val="24"/>
              </w:rPr>
              <w:lastRenderedPageBreak/>
              <w:t>proceso y se ofrecen implicaciones para la teoría y práctica publicitaria.</w:t>
            </w:r>
          </w:p>
        </w:tc>
      </w:tr>
      <w:tr w:rsidR="00D51211" w14:paraId="57A94619" w14:textId="77777777" w:rsidTr="00654BC5">
        <w:trPr>
          <w:trHeight w:val="885"/>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71F05B43" w14:textId="1FF36BB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(Brooks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2021)</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2CEA1965"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Driessens</w:t>
            </w:r>
            <w:proofErr w:type="spellEnd"/>
            <w:r>
              <w:rPr>
                <w:rFonts w:ascii="Times New Roman" w:eastAsia="Times New Roman" w:hAnsi="Times New Roman" w:cs="Times New Roman"/>
                <w:sz w:val="24"/>
                <w:szCs w:val="24"/>
              </w:rPr>
              <w:t xml:space="preserve"> , 2013)</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2BDCFB81" w14:textId="5E7B25C4"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 prácticas generativas, colaborativas y evaluativas en el proceso de "</w:t>
            </w:r>
            <w:proofErr w:type="spellStart"/>
            <w:r>
              <w:rPr>
                <w:rFonts w:ascii="Times New Roman" w:eastAsia="Times New Roman" w:hAnsi="Times New Roman" w:cs="Times New Roman"/>
                <w:sz w:val="24"/>
                <w:szCs w:val="24"/>
              </w:rPr>
              <w:t>influencer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celebrification</w:t>
            </w:r>
            <w:proofErr w:type="spellEnd"/>
            <w:r>
              <w:rPr>
                <w:rFonts w:ascii="Times New Roman" w:eastAsia="Times New Roman" w:hAnsi="Times New Roman" w:cs="Times New Roman"/>
                <w:sz w:val="24"/>
                <w:szCs w:val="24"/>
              </w:rPr>
              <w:t xml:space="preserve">", así como la importancia </w:t>
            </w:r>
            <w:r w:rsidR="00E023C8">
              <w:rPr>
                <w:rFonts w:ascii="Times New Roman" w:eastAsia="Times New Roman" w:hAnsi="Times New Roman" w:cs="Times New Roman"/>
                <w:sz w:val="24"/>
                <w:szCs w:val="24"/>
              </w:rPr>
              <w:t>del agnosticismo</w:t>
            </w:r>
            <w:r>
              <w:rPr>
                <w:rFonts w:ascii="Times New Roman" w:eastAsia="Times New Roman" w:hAnsi="Times New Roman" w:cs="Times New Roman"/>
                <w:sz w:val="24"/>
                <w:szCs w:val="24"/>
              </w:rPr>
              <w:t xml:space="preserve"> de plataforma y el seguimiento del contenido a través de las redes sociales.</w:t>
            </w:r>
          </w:p>
        </w:tc>
      </w:tr>
      <w:tr w:rsidR="00D51211" w14:paraId="1EE4397F" w14:textId="77777777" w:rsidTr="00654BC5">
        <w:trPr>
          <w:trHeight w:val="547"/>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13F31CCE" w14:textId="72EFEE96"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(Moran </w:t>
            </w:r>
            <w:r w:rsidR="00E023C8">
              <w:rPr>
                <w:rFonts w:ascii="Times New Roman" w:eastAsia="Times New Roman" w:hAnsi="Times New Roman" w:cs="Times New Roman"/>
                <w:sz w:val="24"/>
                <w:szCs w:val="24"/>
              </w:rPr>
              <w:t>et al.,</w:t>
            </w:r>
            <w:r>
              <w:rPr>
                <w:rFonts w:ascii="Times New Roman" w:eastAsia="Times New Roman" w:hAnsi="Times New Roman" w:cs="Times New Roman"/>
                <w:sz w:val="24"/>
                <w:szCs w:val="24"/>
              </w:rPr>
              <w:t xml:space="preserve"> 2020)</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70A4B7A4"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(Van Doorn et al.,2010)</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7A26003E" w14:textId="7509B511"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 </w:t>
            </w:r>
            <w:r w:rsidR="00E023C8">
              <w:rPr>
                <w:rFonts w:ascii="Times New Roman" w:eastAsia="Times New Roman" w:hAnsi="Times New Roman" w:cs="Times New Roman"/>
                <w:sz w:val="24"/>
                <w:szCs w:val="24"/>
              </w:rPr>
              <w:t>identificado qué</w:t>
            </w:r>
            <w:r>
              <w:rPr>
                <w:rFonts w:ascii="Times New Roman" w:eastAsia="Times New Roman" w:hAnsi="Times New Roman" w:cs="Times New Roman"/>
                <w:sz w:val="24"/>
                <w:szCs w:val="24"/>
              </w:rPr>
              <w:t xml:space="preserve"> componentes de contenido, señales de interactividad y riqueza de medios son más efectivos para inducir a los consumidores a interactuar con el contenido de la marca en Facebook.</w:t>
            </w:r>
          </w:p>
        </w:tc>
      </w:tr>
      <w:tr w:rsidR="00D51211" w14:paraId="65D0F7F5" w14:textId="77777777" w:rsidTr="00654BC5">
        <w:trPr>
          <w:trHeight w:val="690"/>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347E7110" w14:textId="2B9B2CBB"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(Yao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,2022)</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71C447EE"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Lusch</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Nambisan</w:t>
            </w:r>
            <w:proofErr w:type="spellEnd"/>
            <w:r>
              <w:rPr>
                <w:rFonts w:ascii="Times New Roman" w:eastAsia="Times New Roman" w:hAnsi="Times New Roman" w:cs="Times New Roman"/>
                <w:sz w:val="24"/>
                <w:szCs w:val="24"/>
              </w:rPr>
              <w:t xml:space="preserve"> ,2015)</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12085C7E"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investigación beneficia al usuario al proporcionar una comprensión más profunda de cómo los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en redes sociales integran recursos para crear valor en el contexto de la innovación en servicios.</w:t>
            </w:r>
          </w:p>
        </w:tc>
      </w:tr>
      <w:tr w:rsidR="00D51211" w14:paraId="698EC231" w14:textId="77777777" w:rsidTr="00654BC5">
        <w:trPr>
          <w:trHeight w:val="675"/>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1CC555F6" w14:textId="77777777" w:rsidR="00D51211" w:rsidRDefault="00D51211" w:rsidP="00654BC5">
            <w:pPr>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Jagdish</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Sheth</w:t>
            </w:r>
            <w:proofErr w:type="spellEnd"/>
            <w:r>
              <w:rPr>
                <w:rFonts w:ascii="Times New Roman" w:eastAsia="Times New Roman" w:hAnsi="Times New Roman" w:cs="Times New Roman"/>
                <w:sz w:val="24"/>
                <w:szCs w:val="24"/>
              </w:rPr>
              <w:t xml:space="preserve"> (2020)</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597F7DAE"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(Ghemawat., 2001)</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0B0568B6"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medios sociales han revolucionado el marketing internacional al permitir a las empresas conectarse globalmente, utilizar el marketing de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generar contenido atractivo, y facilitar la interacción directa con los consumidores para obtener retroalimentación inmediata.</w:t>
            </w:r>
          </w:p>
        </w:tc>
      </w:tr>
      <w:tr w:rsidR="00D51211" w14:paraId="31CB3EBF" w14:textId="77777777" w:rsidTr="00654BC5">
        <w:trPr>
          <w:trHeight w:val="747"/>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24BCB4DC" w14:textId="26083F4D"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(Susan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2021)</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76731457"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(Huang et al., 2020)</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37E04531"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encontró que la confianza del cliente B2B actúa como mediador entre las prácticas de comunicación en redes sociales del proveedor y la lealtad del cliente B2B. Se demostró que la confianza del cliente B2B mediatiza la relación entre las prácticas de comunicación en redes sociales y la lealtad del cliente.</w:t>
            </w:r>
          </w:p>
        </w:tc>
      </w:tr>
      <w:tr w:rsidR="00D51211" w14:paraId="3CE9F367" w14:textId="77777777" w:rsidTr="00654BC5">
        <w:trPr>
          <w:trHeight w:val="540"/>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5D32E5F9" w14:textId="008C26BA"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Nawar</w:t>
            </w:r>
            <w:proofErr w:type="spellEnd"/>
            <w:r>
              <w:rPr>
                <w:rFonts w:ascii="Times New Roman" w:eastAsia="Times New Roman" w:hAnsi="Times New Roman" w:cs="Times New Roman"/>
                <w:sz w:val="24"/>
                <w:szCs w:val="24"/>
              </w:rPr>
              <w:t xml:space="preserve">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2022)</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04AD7154"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Chaker</w:t>
            </w:r>
            <w:proofErr w:type="spellEnd"/>
            <w:r>
              <w:rPr>
                <w:rFonts w:ascii="Times New Roman" w:eastAsia="Times New Roman" w:hAnsi="Times New Roman" w:cs="Times New Roman"/>
                <w:sz w:val="24"/>
                <w:szCs w:val="24"/>
              </w:rPr>
              <w:t xml:space="preserve"> et al., 2021)</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0CE15E43"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papel de las ventas internas ha evolucionado en la era digital, aumentando en autonomía, importancia y alcance. Los compradores prefieren cada vez más las relaciones </w:t>
            </w:r>
            <w:r>
              <w:rPr>
                <w:rFonts w:ascii="Times New Roman" w:eastAsia="Times New Roman" w:hAnsi="Times New Roman" w:cs="Times New Roman"/>
                <w:sz w:val="24"/>
                <w:szCs w:val="24"/>
              </w:rPr>
              <w:lastRenderedPageBreak/>
              <w:t>virtuales, lo que brinda oportunidades para los vendedores internos que utilizan las redes sociales. Las ventas internas se consideran el modelo de negocio de ventas de la era digital y un enfoque de venta estratégico distintivo.</w:t>
            </w:r>
          </w:p>
        </w:tc>
      </w:tr>
      <w:tr w:rsidR="00D51211" w14:paraId="53424006" w14:textId="77777777" w:rsidTr="00654BC5">
        <w:trPr>
          <w:trHeight w:val="908"/>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762B7FB2" w14:textId="41060064"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roofErr w:type="spellStart"/>
            <w:r>
              <w:rPr>
                <w:rFonts w:ascii="Times New Roman" w:eastAsia="Times New Roman" w:hAnsi="Times New Roman" w:cs="Times New Roman"/>
                <w:sz w:val="24"/>
                <w:szCs w:val="24"/>
              </w:rPr>
              <w:t>Dhruv</w:t>
            </w:r>
            <w:proofErr w:type="spellEnd"/>
            <w:r>
              <w:rPr>
                <w:rFonts w:ascii="Times New Roman" w:eastAsia="Times New Roman" w:hAnsi="Times New Roman" w:cs="Times New Roman"/>
                <w:sz w:val="24"/>
                <w:szCs w:val="24"/>
              </w:rPr>
              <w:t xml:space="preserve">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2022)</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7DCEC23A"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(Berger et al., 2020)</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7FFE20EE"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comunicación digital es dinámica y multimodal, lo que presenta desafíos conceptuales y metodológicos para los investigadores. Se destaca la importancia de comprender la dinámica del desarrollo y cambio en la comunicación digital, así como las tendencias y variaciones en los mensajes y las interacciones.</w:t>
            </w:r>
          </w:p>
        </w:tc>
      </w:tr>
      <w:tr w:rsidR="00D51211" w14:paraId="35D2834C" w14:textId="77777777" w:rsidTr="00654BC5">
        <w:trPr>
          <w:trHeight w:val="585"/>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2F9EFFDF" w14:textId="129446CB"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Anjala</w:t>
            </w:r>
            <w:proofErr w:type="spellEnd"/>
            <w:r>
              <w:rPr>
                <w:rFonts w:ascii="Times New Roman" w:eastAsia="Times New Roman" w:hAnsi="Times New Roman" w:cs="Times New Roman"/>
                <w:sz w:val="24"/>
                <w:szCs w:val="24"/>
              </w:rPr>
              <w:t xml:space="preserve">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2021)</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01CAD1C0" w14:textId="2A4FBFEA" w:rsidR="00D51211" w:rsidRDefault="00E023C8"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(Petit</w:t>
            </w:r>
            <w:r w:rsidR="00D51211">
              <w:rPr>
                <w:rFonts w:ascii="Times New Roman" w:eastAsia="Times New Roman" w:hAnsi="Times New Roman" w:cs="Times New Roman"/>
                <w:sz w:val="24"/>
                <w:szCs w:val="24"/>
              </w:rPr>
              <w:t xml:space="preserve"> et al ., 2019 )</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5CDD6E04"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marketing digital interactivo es un campo de investigación internacional e interdisciplinario. Además, resalta la importancia de una visión multidisciplinaria del marketing digital interactivo, ya que involucra múltiples disciplinas como la ingeniería, la informática y los estudios de consumo relacionados con las nuevas tecnologías.</w:t>
            </w:r>
          </w:p>
        </w:tc>
      </w:tr>
      <w:tr w:rsidR="00D51211" w14:paraId="00E18D60" w14:textId="77777777" w:rsidTr="00654BC5">
        <w:trPr>
          <w:trHeight w:val="645"/>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6803BE0B"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Mattioli</w:t>
            </w:r>
            <w:proofErr w:type="spellEnd"/>
            <w:r>
              <w:rPr>
                <w:rFonts w:ascii="Times New Roman" w:eastAsia="Times New Roman" w:hAnsi="Times New Roman" w:cs="Times New Roman"/>
                <w:sz w:val="24"/>
                <w:szCs w:val="24"/>
              </w:rPr>
              <w:t xml:space="preserve"> et al., 2020)</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729E981D"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Hair</w:t>
            </w:r>
            <w:proofErr w:type="spellEnd"/>
            <w:r>
              <w:rPr>
                <w:rFonts w:ascii="Times New Roman" w:eastAsia="Times New Roman" w:hAnsi="Times New Roman" w:cs="Times New Roman"/>
                <w:sz w:val="24"/>
                <w:szCs w:val="24"/>
              </w:rPr>
              <w:t xml:space="preserve"> et al ., 2019 )</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493E94DC"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importancia de las características del contenido digital y de los </w:t>
            </w:r>
            <w:proofErr w:type="spellStart"/>
            <w:r>
              <w:rPr>
                <w:rFonts w:ascii="Times New Roman" w:eastAsia="Times New Roman" w:hAnsi="Times New Roman" w:cs="Times New Roman"/>
                <w:sz w:val="24"/>
                <w:szCs w:val="24"/>
              </w:rPr>
              <w:t>YouTubers</w:t>
            </w:r>
            <w:proofErr w:type="spellEnd"/>
            <w:r>
              <w:rPr>
                <w:rFonts w:ascii="Times New Roman" w:eastAsia="Times New Roman" w:hAnsi="Times New Roman" w:cs="Times New Roman"/>
                <w:sz w:val="24"/>
                <w:szCs w:val="24"/>
              </w:rPr>
              <w:t xml:space="preserve"> en la fidelización de usuarios hacia los canales de fitness en YouTube. Subraya la relevancia de entender el comportamiento del consumidor en el entorno digital, especialmente durante la pandemia de COVID-19, y enfatiza la evaluación cognitiva en la experiencia del usuario en entornos virtuales.</w:t>
            </w:r>
          </w:p>
        </w:tc>
      </w:tr>
      <w:tr w:rsidR="00D51211" w14:paraId="18FA9AC9" w14:textId="77777777" w:rsidTr="00654BC5">
        <w:trPr>
          <w:trHeight w:val="547"/>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67F939FE" w14:textId="2D178760"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Fraccastoro</w:t>
            </w:r>
            <w:proofErr w:type="spellEnd"/>
            <w:r>
              <w:rPr>
                <w:rFonts w:ascii="Times New Roman" w:eastAsia="Times New Roman" w:hAnsi="Times New Roman" w:cs="Times New Roman"/>
                <w:sz w:val="24"/>
                <w:szCs w:val="24"/>
              </w:rPr>
              <w:t xml:space="preserve">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,2021)</w:t>
            </w:r>
          </w:p>
        </w:tc>
        <w:tc>
          <w:tcPr>
            <w:tcW w:w="109.50pt" w:type="dxa"/>
            <w:tcBorders>
              <w:top w:val="single" w:sz="6" w:space="0" w:color="CCCCCC"/>
              <w:start w:val="single" w:sz="6" w:space="0" w:color="CCCCCC"/>
              <w:bottom w:val="single" w:sz="6" w:space="0" w:color="CCCCCC"/>
              <w:end w:val="single" w:sz="6" w:space="0" w:color="CCCCCC"/>
            </w:tcBorders>
            <w:shd w:val="clear" w:color="auto" w:fill="FFFFFF"/>
            <w:tcMar>
              <w:top w:w="1.50pt" w:type="dxa"/>
              <w:start w:w="2.25pt" w:type="dxa"/>
              <w:bottom w:w="1.50pt" w:type="dxa"/>
              <w:end w:w="2.25pt" w:type="dxa"/>
            </w:tcMar>
            <w:vAlign w:val="center"/>
          </w:tcPr>
          <w:p w14:paraId="5F32C63A" w14:textId="7A9DF13D"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(Strauss &amp; </w:t>
            </w:r>
            <w:proofErr w:type="spellStart"/>
            <w:r w:rsidR="00E023C8">
              <w:rPr>
                <w:rFonts w:ascii="Times New Roman" w:eastAsia="Times New Roman" w:hAnsi="Times New Roman" w:cs="Times New Roman"/>
                <w:sz w:val="24"/>
                <w:szCs w:val="24"/>
              </w:rPr>
              <w:t>Corbin</w:t>
            </w:r>
            <w:proofErr w:type="spellEnd"/>
            <w:r w:rsidR="00E023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1998) </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39EB752A"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redes sociales son útiles para atraer prospectos internacionales en el proceso de ventas B2B de </w:t>
            </w:r>
            <w:proofErr w:type="spellStart"/>
            <w:r>
              <w:rPr>
                <w:rFonts w:ascii="Times New Roman" w:eastAsia="Times New Roman" w:hAnsi="Times New Roman" w:cs="Times New Roman"/>
                <w:sz w:val="24"/>
                <w:szCs w:val="24"/>
              </w:rPr>
              <w:t>PYMEs</w:t>
            </w:r>
            <w:proofErr w:type="spellEnd"/>
            <w:r>
              <w:rPr>
                <w:rFonts w:ascii="Times New Roman" w:eastAsia="Times New Roman" w:hAnsi="Times New Roman" w:cs="Times New Roman"/>
                <w:sz w:val="24"/>
                <w:szCs w:val="24"/>
              </w:rPr>
              <w:t xml:space="preserve">. Ayudan a aumentar la visibilidad de la empresa, reducir la </w:t>
            </w:r>
            <w:r>
              <w:rPr>
                <w:rFonts w:ascii="Times New Roman" w:eastAsia="Times New Roman" w:hAnsi="Times New Roman" w:cs="Times New Roman"/>
                <w:sz w:val="24"/>
                <w:szCs w:val="24"/>
              </w:rPr>
              <w:lastRenderedPageBreak/>
              <w:t xml:space="preserve">incertidumbre sobre la misma y construir confianza en los mercados </w:t>
            </w:r>
            <w:proofErr w:type="spellStart"/>
            <w:r>
              <w:rPr>
                <w:rFonts w:ascii="Times New Roman" w:eastAsia="Times New Roman" w:hAnsi="Times New Roman" w:cs="Times New Roman"/>
                <w:sz w:val="24"/>
                <w:szCs w:val="24"/>
              </w:rPr>
              <w:t>internacionales.Muchas</w:t>
            </w:r>
            <w:proofErr w:type="spellEnd"/>
            <w:r>
              <w:rPr>
                <w:rFonts w:ascii="Times New Roman" w:eastAsia="Times New Roman" w:hAnsi="Times New Roman" w:cs="Times New Roman"/>
                <w:sz w:val="24"/>
                <w:szCs w:val="24"/>
              </w:rPr>
              <w:t xml:space="preserve"> empresas utilizan plataformas como Facebook, Twitter e Instagram para crear conciencia de marca y establecer su credibilidad.</w:t>
            </w:r>
          </w:p>
        </w:tc>
      </w:tr>
      <w:tr w:rsidR="00D51211" w14:paraId="1C8AEF64" w14:textId="77777777" w:rsidTr="00654BC5">
        <w:trPr>
          <w:trHeight w:val="645"/>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6110D248" w14:textId="6D167B64"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(Petersen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2022)</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5D5FF603" w14:textId="3FAC192E" w:rsidR="00D51211" w:rsidRDefault="00E023C8"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Agrawal</w:t>
            </w:r>
            <w:proofErr w:type="spellEnd"/>
            <w:r w:rsidR="00D51211">
              <w:rPr>
                <w:rFonts w:ascii="Times New Roman" w:eastAsia="Times New Roman" w:hAnsi="Times New Roman" w:cs="Times New Roman"/>
                <w:sz w:val="24"/>
                <w:szCs w:val="24"/>
              </w:rPr>
              <w:t xml:space="preserve"> et al ., 2017)</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456DB378"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paisaje digital actual está transformando las relaciones entre empresas y clientes a nivel global a través de avances tecnológicos como inteligencia artificial, análisis predictivo y aprendizaje profundo. La penetración de internet, la adopción de tecnologías digitales y las regulaciones gubernamentales también influyen en estas relaciones.</w:t>
            </w:r>
          </w:p>
        </w:tc>
      </w:tr>
      <w:tr w:rsidR="00D51211" w14:paraId="06B7C6AE" w14:textId="77777777" w:rsidTr="00654BC5">
        <w:trPr>
          <w:trHeight w:val="705"/>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190E9F48" w14:textId="122AE481"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(Gartner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2021)</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6101395D" w14:textId="3FC2D4BA" w:rsidR="00D51211" w:rsidRDefault="00E023C8"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(Hermann</w:t>
            </w:r>
            <w:r w:rsidR="00D51211">
              <w:rPr>
                <w:rFonts w:ascii="Times New Roman" w:eastAsia="Times New Roman" w:hAnsi="Times New Roman" w:cs="Times New Roman"/>
                <w:sz w:val="24"/>
                <w:szCs w:val="24"/>
              </w:rPr>
              <w:t xml:space="preserve"> et al ., 2010 )</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07028512"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 herramientas digitales, como las plataformas de presentación en línea, las herramientas de CRM y las reuniones en línea, juegan un papel crucial en la fase de persuasión del proceso de ventas. Permiten a las empresas interactuar con prospectos internacionales, realizar presentaciones y negociaciones, y mantener relaciones con los clientes después de cerrar un trato.</w:t>
            </w:r>
          </w:p>
        </w:tc>
      </w:tr>
      <w:tr w:rsidR="00D51211" w14:paraId="32C32916" w14:textId="77777777" w:rsidTr="00654BC5">
        <w:trPr>
          <w:trHeight w:val="720"/>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534DAB18" w14:textId="17C5EC3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Herhausen</w:t>
            </w:r>
            <w:proofErr w:type="spellEnd"/>
            <w:r>
              <w:rPr>
                <w:rFonts w:ascii="Times New Roman" w:eastAsia="Times New Roman" w:hAnsi="Times New Roman" w:cs="Times New Roman"/>
                <w:sz w:val="24"/>
                <w:szCs w:val="24"/>
              </w:rPr>
              <w:t xml:space="preserve">,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2020)</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65A9A629"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Cyr</w:t>
            </w:r>
            <w:proofErr w:type="spellEnd"/>
            <w:r>
              <w:rPr>
                <w:rFonts w:ascii="Times New Roman" w:eastAsia="Times New Roman" w:hAnsi="Times New Roman" w:cs="Times New Roman"/>
                <w:sz w:val="24"/>
                <w:szCs w:val="24"/>
              </w:rPr>
              <w:t xml:space="preserve"> et al.,2009) </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3858690F"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presencia digital de los empleados en los sitios web de servicio influye positivamente en las percepciones de los clientes sobre la calidad del servicio en el sitio web y moldea las memorias relacionadas con la calidad del servicio de los empleados.</w:t>
            </w:r>
          </w:p>
        </w:tc>
      </w:tr>
      <w:tr w:rsidR="00D51211" w14:paraId="2A3BD9B0" w14:textId="77777777" w:rsidTr="00654BC5">
        <w:trPr>
          <w:trHeight w:val="778"/>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040BF328"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Varsha</w:t>
            </w:r>
            <w:proofErr w:type="spellEnd"/>
            <w:r>
              <w:rPr>
                <w:rFonts w:ascii="Times New Roman" w:eastAsia="Times New Roman" w:hAnsi="Times New Roman" w:cs="Times New Roman"/>
                <w:sz w:val="24"/>
                <w:szCs w:val="24"/>
              </w:rPr>
              <w:t xml:space="preserve"> et al 2022)</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597C07EB" w14:textId="739ED99D"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(Olson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w:t>
            </w:r>
            <w:r w:rsidR="00E023C8">
              <w:rPr>
                <w:rFonts w:ascii="Times New Roman" w:eastAsia="Times New Roman" w:hAnsi="Times New Roman" w:cs="Times New Roman"/>
                <w:sz w:val="24"/>
                <w:szCs w:val="24"/>
              </w:rPr>
              <w:t>1972)</w:t>
            </w:r>
            <w:r>
              <w:rPr>
                <w:rFonts w:ascii="Times New Roman" w:eastAsia="Times New Roman" w:hAnsi="Times New Roman" w:cs="Times New Roman"/>
                <w:sz w:val="24"/>
                <w:szCs w:val="24"/>
              </w:rPr>
              <w:t xml:space="preserve"> </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064899AB"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atributos de los </w:t>
            </w:r>
            <w:proofErr w:type="spellStart"/>
            <w:r>
              <w:rPr>
                <w:rFonts w:ascii="Times New Roman" w:eastAsia="Times New Roman" w:hAnsi="Times New Roman" w:cs="Times New Roman"/>
                <w:sz w:val="24"/>
                <w:szCs w:val="24"/>
              </w:rPr>
              <w:t>YouTubers</w:t>
            </w:r>
            <w:proofErr w:type="spellEnd"/>
            <w:r>
              <w:rPr>
                <w:rFonts w:ascii="Times New Roman" w:eastAsia="Times New Roman" w:hAnsi="Times New Roman" w:cs="Times New Roman"/>
                <w:sz w:val="24"/>
                <w:szCs w:val="24"/>
              </w:rPr>
              <w:t xml:space="preserve"> de fitness, como el atractivo físico y la </w:t>
            </w:r>
            <w:proofErr w:type="spellStart"/>
            <w:r>
              <w:rPr>
                <w:rFonts w:ascii="Times New Roman" w:eastAsia="Times New Roman" w:hAnsi="Times New Roman" w:cs="Times New Roman"/>
                <w:sz w:val="24"/>
                <w:szCs w:val="24"/>
              </w:rPr>
              <w:t>homofilia</w:t>
            </w:r>
            <w:proofErr w:type="spellEnd"/>
            <w:r>
              <w:rPr>
                <w:rFonts w:ascii="Times New Roman" w:eastAsia="Times New Roman" w:hAnsi="Times New Roman" w:cs="Times New Roman"/>
                <w:sz w:val="24"/>
                <w:szCs w:val="24"/>
              </w:rPr>
              <w:t xml:space="preserve"> de actitud, influyen en la satisfacción de los usuarios que realizan ejercicios en casa al influir en su experiencia emocional, como el estado de flujo, y en la percepción de la credibilidad y atracción del contenido proporcionado por los </w:t>
            </w:r>
            <w:proofErr w:type="spellStart"/>
            <w:r>
              <w:rPr>
                <w:rFonts w:ascii="Times New Roman" w:eastAsia="Times New Roman" w:hAnsi="Times New Roman" w:cs="Times New Roman"/>
                <w:sz w:val="24"/>
                <w:szCs w:val="24"/>
              </w:rPr>
              <w:t>YouTubers</w:t>
            </w:r>
            <w:proofErr w:type="spellEnd"/>
          </w:p>
        </w:tc>
      </w:tr>
      <w:tr w:rsidR="00D51211" w14:paraId="466B582E" w14:textId="77777777" w:rsidTr="00654BC5">
        <w:trPr>
          <w:trHeight w:val="1024"/>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551B00FD" w14:textId="78C0BAB2"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Berger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w:t>
            </w:r>
            <w:r w:rsidR="00E023C8">
              <w:rPr>
                <w:rFonts w:ascii="Times New Roman" w:eastAsia="Times New Roman" w:hAnsi="Times New Roman" w:cs="Times New Roman"/>
                <w:sz w:val="24"/>
                <w:szCs w:val="24"/>
              </w:rPr>
              <w:t>(2023</w:t>
            </w:r>
            <w:r>
              <w:rPr>
                <w:rFonts w:ascii="Times New Roman" w:eastAsia="Times New Roman" w:hAnsi="Times New Roman" w:cs="Times New Roman"/>
                <w:sz w:val="24"/>
                <w:szCs w:val="24"/>
              </w:rPr>
              <w:t>)</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0801D1C4" w14:textId="7F877F4B"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Schweidel</w:t>
            </w:r>
            <w:proofErr w:type="spellEnd"/>
            <w:r>
              <w:rPr>
                <w:rFonts w:ascii="Times New Roman" w:eastAsia="Times New Roman" w:hAnsi="Times New Roman" w:cs="Times New Roman"/>
                <w:sz w:val="24"/>
                <w:szCs w:val="24"/>
              </w:rPr>
              <w:t xml:space="preserve">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2016) </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bottom"/>
          </w:tcPr>
          <w:p w14:paraId="48D8F63D" w14:textId="77777777" w:rsidR="00D51211" w:rsidRDefault="00D51211" w:rsidP="00654BC5">
            <w:pPr>
              <w:spacing w:after="12pt"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 emociones como la ansiedad, la emoción y la esperanza juegan un papel importante en la retención de la atención del público. El lenguaje que evoca estas emociones, especialmente cuando también facilita el procesamiento, tiende a mantener la atención del público en el contenido en línea. Por otro lado, el lenguaje triste tiende a disminuir la retención de la atención.</w:t>
            </w:r>
          </w:p>
        </w:tc>
      </w:tr>
      <w:tr w:rsidR="00D51211" w14:paraId="7DF382E0" w14:textId="77777777" w:rsidTr="00654BC5">
        <w:trPr>
          <w:trHeight w:val="780"/>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1F22A445" w14:textId="37626366"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Kalra</w:t>
            </w:r>
            <w:proofErr w:type="spellEnd"/>
            <w:r>
              <w:rPr>
                <w:rFonts w:ascii="Times New Roman" w:eastAsia="Times New Roman" w:hAnsi="Times New Roman" w:cs="Times New Roman"/>
                <w:sz w:val="24"/>
                <w:szCs w:val="24"/>
              </w:rPr>
              <w:t xml:space="preserve">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,2023)</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0F04B074"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Kalra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Itani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Rostami</w:t>
            </w:r>
            <w:proofErr w:type="spellEnd"/>
            <w:r>
              <w:rPr>
                <w:rFonts w:ascii="Times New Roman" w:eastAsia="Times New Roman" w:hAnsi="Times New Roman" w:cs="Times New Roman"/>
                <w:sz w:val="24"/>
                <w:szCs w:val="24"/>
              </w:rPr>
              <w:t xml:space="preserve"> ,2023)</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41F20D42"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uso de redes sociales por parte de los vendedores tiene un impacto positivo en el reconocimiento de la marca. Además, se destaca que la relación entre el uso de redes sociales y el reconocimiento de la marca se ve potenciada por la creatividad de los vendedores.</w:t>
            </w:r>
          </w:p>
        </w:tc>
      </w:tr>
      <w:tr w:rsidR="00D51211" w14:paraId="5CF459A1" w14:textId="77777777" w:rsidTr="00654BC5">
        <w:trPr>
          <w:trHeight w:val="945"/>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01F0CCC8" w14:textId="1BFB6CB0"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(Ferraro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,2024)</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0DECBC72"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(Siegel, </w:t>
            </w:r>
            <w:proofErr w:type="spellStart"/>
            <w:r>
              <w:rPr>
                <w:rFonts w:ascii="Times New Roman" w:eastAsia="Times New Roman" w:hAnsi="Times New Roman" w:cs="Times New Roman"/>
                <w:sz w:val="24"/>
                <w:szCs w:val="24"/>
              </w:rPr>
              <w:t>Breazeal</w:t>
            </w:r>
            <w:proofErr w:type="spellEnd"/>
            <w:r>
              <w:rPr>
                <w:rFonts w:ascii="Times New Roman" w:eastAsia="Times New Roman" w:hAnsi="Times New Roman" w:cs="Times New Roman"/>
                <w:sz w:val="24"/>
                <w:szCs w:val="24"/>
              </w:rPr>
              <w:t xml:space="preserve"> &amp; Norton ,2009)</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bottom"/>
          </w:tcPr>
          <w:p w14:paraId="4E062633" w14:textId="77777777" w:rsidR="00D51211" w:rsidRDefault="00D51211" w:rsidP="00654BC5">
            <w:pPr>
              <w:spacing w:after="12pt"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virtuales han impactado significativamente la forma en que las marcas se conectan con sus audiencias. La creación de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virtuales diversificados ha permitido a las marcas llegar a audiencias más amplias y construir confianza y credibilidad con los consumidores.</w:t>
            </w:r>
          </w:p>
        </w:tc>
      </w:tr>
      <w:tr w:rsidR="00D51211" w14:paraId="6E7561C0" w14:textId="77777777" w:rsidTr="00654BC5">
        <w:trPr>
          <w:trHeight w:val="945"/>
        </w:trPr>
        <w:tc>
          <w:tcPr>
            <w:tcW w:w="84.75pt" w:type="dxa"/>
            <w:tcBorders>
              <w:top w:val="single" w:sz="6" w:space="0" w:color="CCCCCC"/>
              <w:start w:val="single" w:sz="6" w:space="0" w:color="CCCCCC"/>
              <w:bottom w:val="single" w:sz="6" w:space="0" w:color="CCCCCC"/>
              <w:end w:val="single" w:sz="6" w:space="0" w:color="CCCCCC"/>
            </w:tcBorders>
            <w:shd w:val="clear" w:color="auto" w:fill="auto"/>
            <w:tcMar>
              <w:top w:w="1.50pt" w:type="dxa"/>
              <w:start w:w="2.25pt" w:type="dxa"/>
              <w:bottom w:w="1.50pt" w:type="dxa"/>
              <w:end w:w="2.25pt" w:type="dxa"/>
            </w:tcMar>
            <w:vAlign w:val="center"/>
          </w:tcPr>
          <w:p w14:paraId="251F4CEE"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Lewis Hood, S. (2021)</w:t>
            </w:r>
          </w:p>
        </w:tc>
        <w:tc>
          <w:tcPr>
            <w:tcW w:w="109.50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3CD71F54" w14:textId="3C6A0639" w:rsidR="00D51211" w:rsidRDefault="00E023C8"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Dennhardt</w:t>
            </w:r>
            <w:proofErr w:type="spellEnd"/>
            <w:r w:rsidR="00D51211">
              <w:rPr>
                <w:rFonts w:ascii="Times New Roman" w:eastAsia="Times New Roman" w:hAnsi="Times New Roman" w:cs="Times New Roman"/>
                <w:sz w:val="24"/>
                <w:szCs w:val="24"/>
              </w:rPr>
              <w:t xml:space="preserve"> et </w:t>
            </w:r>
            <w:r>
              <w:rPr>
                <w:rFonts w:ascii="Times New Roman" w:eastAsia="Times New Roman" w:hAnsi="Times New Roman" w:cs="Times New Roman"/>
                <w:sz w:val="24"/>
                <w:szCs w:val="24"/>
              </w:rPr>
              <w:t>al.</w:t>
            </w:r>
            <w:r w:rsidR="00D51211">
              <w:rPr>
                <w:rFonts w:ascii="Times New Roman" w:eastAsia="Times New Roman" w:hAnsi="Times New Roman" w:cs="Times New Roman"/>
                <w:sz w:val="24"/>
                <w:szCs w:val="24"/>
              </w:rPr>
              <w:t>, 2014 )</w:t>
            </w:r>
          </w:p>
        </w:tc>
        <w:tc>
          <w:tcPr>
            <w:tcW w:w="296.25pt" w:type="dxa"/>
            <w:tcBorders>
              <w:top w:val="single" w:sz="6" w:space="0" w:color="CCCCCC"/>
              <w:start w:val="single" w:sz="6" w:space="0" w:color="CCCCCC"/>
              <w:bottom w:val="single" w:sz="6" w:space="0" w:color="CCCCCC"/>
              <w:end w:val="single" w:sz="6" w:space="0" w:color="CCCCCC"/>
            </w:tcBorders>
            <w:tcMar>
              <w:top w:w="1.50pt" w:type="dxa"/>
              <w:start w:w="2.25pt" w:type="dxa"/>
              <w:bottom w:w="1.50pt" w:type="dxa"/>
              <w:end w:w="2.25pt" w:type="dxa"/>
            </w:tcMar>
            <w:vAlign w:val="center"/>
          </w:tcPr>
          <w:p w14:paraId="23D99D54"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confianza de los consumidores en el contenido de Instagram afecta su comportamiento de compra y evaluación </w:t>
            </w:r>
            <w:proofErr w:type="spellStart"/>
            <w:r>
              <w:rPr>
                <w:rFonts w:ascii="Times New Roman" w:eastAsia="Times New Roman" w:hAnsi="Times New Roman" w:cs="Times New Roman"/>
                <w:sz w:val="24"/>
                <w:szCs w:val="24"/>
              </w:rPr>
              <w:t>post-compra</w:t>
            </w:r>
            <w:proofErr w:type="spellEnd"/>
            <w:r>
              <w:rPr>
                <w:rFonts w:ascii="Times New Roman" w:eastAsia="Times New Roman" w:hAnsi="Times New Roman" w:cs="Times New Roman"/>
                <w:sz w:val="24"/>
                <w:szCs w:val="24"/>
              </w:rPr>
              <w:t xml:space="preserve"> en la plataforma. Los consumidores que confían más en Instagram son más propensos a utilizar la plataforma para realizar compras y evaluaciones posteriores a la compra.</w:t>
            </w:r>
          </w:p>
        </w:tc>
      </w:tr>
    </w:tbl>
    <w:p w14:paraId="2833F278" w14:textId="77777777" w:rsidR="00D51211" w:rsidRDefault="00D51211" w:rsidP="00D51211">
      <w:pPr>
        <w:spacing w:line="18pt" w:lineRule="auto"/>
        <w:rPr>
          <w:rFonts w:ascii="Times New Roman" w:eastAsia="Times New Roman" w:hAnsi="Times New Roman" w:cs="Times New Roman"/>
          <w:sz w:val="24"/>
          <w:szCs w:val="24"/>
        </w:rPr>
      </w:pPr>
    </w:p>
    <w:p w14:paraId="6BE9B8D6" w14:textId="77777777" w:rsidR="00D51211" w:rsidRDefault="00D51211" w:rsidP="00D51211">
      <w:pPr>
        <w:widowControl w:val="0"/>
        <w:spacing w:after="12pt" w:line="18pt" w:lineRule="auto"/>
        <w:jc w:val="both"/>
        <w:rPr>
          <w:rFonts w:ascii="Times New Roman" w:eastAsia="Times New Roman" w:hAnsi="Times New Roman" w:cs="Times New Roman"/>
          <w:sz w:val="24"/>
          <w:szCs w:val="24"/>
        </w:rPr>
      </w:pPr>
    </w:p>
    <w:p w14:paraId="0064E262" w14:textId="77777777" w:rsidR="00D51211" w:rsidRDefault="00D51211" w:rsidP="00D51211">
      <w:pPr>
        <w:widowControl w:val="0"/>
        <w:spacing w:after="12pt" w:line="18pt" w:lineRule="auto"/>
        <w:jc w:val="both"/>
        <w:rPr>
          <w:rFonts w:ascii="Times New Roman" w:eastAsia="Times New Roman" w:hAnsi="Times New Roman" w:cs="Times New Roman"/>
          <w:b/>
          <w:sz w:val="24"/>
          <w:szCs w:val="24"/>
        </w:rPr>
      </w:pPr>
    </w:p>
    <w:p w14:paraId="394D67CC" w14:textId="77777777" w:rsidR="00D51211" w:rsidRDefault="00D51211" w:rsidP="00D51211">
      <w:pPr>
        <w:widowControl w:val="0"/>
        <w:spacing w:after="12pt" w:line="18pt" w:lineRule="auto"/>
        <w:jc w:val="both"/>
        <w:rPr>
          <w:rFonts w:ascii="Times New Roman" w:eastAsia="Times New Roman" w:hAnsi="Times New Roman" w:cs="Times New Roman"/>
          <w:b/>
          <w:sz w:val="24"/>
          <w:szCs w:val="24"/>
        </w:rPr>
      </w:pPr>
    </w:p>
    <w:p w14:paraId="6993DEAA" w14:textId="4C9D16D1" w:rsidR="00D51211" w:rsidRDefault="00D51211" w:rsidP="00D51211">
      <w:pPr>
        <w:widowControl w:val="0"/>
        <w:spacing w:after="12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Objetivo </w:t>
      </w:r>
      <w:r w:rsidR="00E023C8">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Analizar el diseño metodológico utilizado en los estudios relacionados al marketing digital y redes sociales.</w:t>
      </w:r>
    </w:p>
    <w:p w14:paraId="68D21B03" w14:textId="77777777" w:rsidR="00D51211" w:rsidRDefault="00D51211" w:rsidP="00D51211">
      <w:pPr>
        <w:widowControl w:val="0"/>
        <w:spacing w:after="12pt"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Tabla 3 se muestra una descripción detallada de la metodología empleada en cada investigación, abarcando aspectos como el enfoque, el alcance, el instrumento utilizado y la unidad de análisis. Estos elementos son fundamentales para comprender el proceso llevado a cabo en cada estudio.</w:t>
      </w:r>
    </w:p>
    <w:p w14:paraId="5F633A93" w14:textId="77777777" w:rsidR="00D51211" w:rsidRDefault="00D51211" w:rsidP="00D51211">
      <w:pPr>
        <w:widowControl w:val="0"/>
        <w:spacing w:after="12pt" w:line="18pt"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Tabla 2</w:t>
      </w:r>
      <w:r>
        <w:rPr>
          <w:rFonts w:ascii="Times New Roman" w:eastAsia="Times New Roman" w:hAnsi="Times New Roman" w:cs="Times New Roman"/>
          <w:sz w:val="24"/>
          <w:szCs w:val="24"/>
        </w:rPr>
        <w:t xml:space="preserve">. </w:t>
      </w:r>
    </w:p>
    <w:p w14:paraId="7CCAF63C" w14:textId="77777777" w:rsidR="00D51211" w:rsidRDefault="00D51211" w:rsidP="00D51211">
      <w:pPr>
        <w:widowControl w:val="0"/>
        <w:spacing w:after="12pt"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Estrategias y enfoques metodológicos</w:t>
      </w:r>
    </w:p>
    <w:p w14:paraId="11555E07" w14:textId="77777777" w:rsidR="00D51211" w:rsidRDefault="00D51211" w:rsidP="00D51211">
      <w:pPr>
        <w:widowControl w:val="0"/>
        <w:spacing w:line="18pt" w:lineRule="auto"/>
        <w:rPr>
          <w:rFonts w:ascii="Times New Roman" w:eastAsia="Times New Roman" w:hAnsi="Times New Roman" w:cs="Times New Roman"/>
          <w:sz w:val="24"/>
          <w:szCs w:val="24"/>
        </w:rPr>
      </w:pPr>
    </w:p>
    <w:tbl>
      <w:tblPr>
        <w:tblpPr w:leftFromText="180" w:rightFromText="180" w:topFromText="180" w:bottomFromText="180" w:vertAnchor="text" w:tblpX="-465"/>
        <w:tblW w:w="484.50pt" w:type="dxa"/>
        <w:tblLayout w:type="fixed"/>
        <w:tblLook w:firstRow="0" w:lastRow="0" w:firstColumn="0" w:lastColumn="0" w:noHBand="0" w:noVBand="1"/>
      </w:tblPr>
      <w:tblGrid>
        <w:gridCol w:w="2520"/>
        <w:gridCol w:w="1485"/>
        <w:gridCol w:w="1530"/>
        <w:gridCol w:w="4155"/>
      </w:tblGrid>
      <w:tr w:rsidR="00D51211" w14:paraId="50FCDE37"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1304DA55"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AUTOR, AÑO</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C38B3AA"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ENFOQUE</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665150DB"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ALCANCE</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5897C211"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INSTRUMENTO</w:t>
            </w:r>
          </w:p>
        </w:tc>
      </w:tr>
      <w:tr w:rsidR="00D51211" w14:paraId="129DFD79"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0FE5CE3B" w14:textId="77777777" w:rsidR="00D51211" w:rsidRDefault="00D51211" w:rsidP="00654BC5">
            <w:pPr>
              <w:spacing w:line="18pt" w:lineRule="auto"/>
              <w:rPr>
                <w:rFonts w:ascii="Times New Roman" w:eastAsia="Times New Roman" w:hAnsi="Times New Roman" w:cs="Times New Roman"/>
                <w:sz w:val="24"/>
                <w:szCs w:val="24"/>
              </w:rPr>
            </w:pPr>
          </w:p>
          <w:p w14:paraId="7E2576A3" w14:textId="65B0AD03"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,2020)</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7E4536CF" w14:textId="77777777" w:rsidR="00D51211" w:rsidRDefault="00D51211" w:rsidP="00654BC5">
            <w:pPr>
              <w:spacing w:line="18pt" w:lineRule="auto"/>
              <w:rPr>
                <w:rFonts w:ascii="Times New Roman" w:eastAsia="Times New Roman" w:hAnsi="Times New Roman" w:cs="Times New Roman"/>
                <w:sz w:val="24"/>
                <w:szCs w:val="24"/>
              </w:rPr>
            </w:pPr>
          </w:p>
          <w:p w14:paraId="40549D1C"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Mixto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091C0308"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Descriptivo y explicativo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12AD04CE"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de datos digitales, observación de interacciones en plataformas de publicidad programática</w:t>
            </w:r>
          </w:p>
        </w:tc>
      </w:tr>
      <w:tr w:rsidR="00D51211" w14:paraId="7FE3B179"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5211CBFE" w14:textId="77777777" w:rsidR="00D51211" w:rsidRDefault="00D51211" w:rsidP="00654BC5">
            <w:pPr>
              <w:spacing w:line="18pt" w:lineRule="auto"/>
              <w:rPr>
                <w:rFonts w:ascii="Times New Roman" w:eastAsia="Times New Roman" w:hAnsi="Times New Roman" w:cs="Times New Roman"/>
                <w:sz w:val="24"/>
                <w:szCs w:val="24"/>
              </w:rPr>
            </w:pPr>
          </w:p>
          <w:p w14:paraId="0FCBC297" w14:textId="77777777" w:rsidR="00D51211" w:rsidRDefault="00D51211" w:rsidP="00654BC5">
            <w:pPr>
              <w:spacing w:line="18pt" w:lineRule="auto"/>
              <w:rPr>
                <w:rFonts w:ascii="Times New Roman" w:eastAsia="Times New Roman" w:hAnsi="Times New Roman" w:cs="Times New Roman"/>
                <w:sz w:val="24"/>
                <w:szCs w:val="24"/>
              </w:rPr>
            </w:pPr>
          </w:p>
          <w:p w14:paraId="16F4E33D" w14:textId="197F4026"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(Jochen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2021)</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4BBE6078" w14:textId="77777777" w:rsidR="00D51211" w:rsidRDefault="00D51211" w:rsidP="00654BC5">
            <w:pPr>
              <w:spacing w:line="18pt" w:lineRule="auto"/>
              <w:rPr>
                <w:rFonts w:ascii="Times New Roman" w:eastAsia="Times New Roman" w:hAnsi="Times New Roman" w:cs="Times New Roman"/>
                <w:sz w:val="24"/>
                <w:szCs w:val="24"/>
              </w:rPr>
            </w:pPr>
          </w:p>
          <w:p w14:paraId="6187B61B" w14:textId="77777777" w:rsidR="00D51211" w:rsidRDefault="00D51211" w:rsidP="00654BC5">
            <w:pPr>
              <w:spacing w:line="18pt" w:lineRule="auto"/>
              <w:rPr>
                <w:rFonts w:ascii="Times New Roman" w:eastAsia="Times New Roman" w:hAnsi="Times New Roman" w:cs="Times New Roman"/>
                <w:sz w:val="24"/>
                <w:szCs w:val="24"/>
              </w:rPr>
            </w:pPr>
          </w:p>
          <w:p w14:paraId="2E6213D5"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039FAD0C" w14:textId="77777777" w:rsidR="00D51211" w:rsidRDefault="00D51211" w:rsidP="00654BC5">
            <w:pPr>
              <w:spacing w:line="18pt" w:lineRule="auto"/>
              <w:jc w:val="center"/>
              <w:rPr>
                <w:rFonts w:ascii="Times New Roman" w:eastAsia="Times New Roman" w:hAnsi="Times New Roman" w:cs="Times New Roman"/>
                <w:sz w:val="24"/>
                <w:szCs w:val="24"/>
              </w:rPr>
            </w:pPr>
          </w:p>
          <w:p w14:paraId="1FBE5098" w14:textId="77777777" w:rsidR="00D51211" w:rsidRDefault="00D51211" w:rsidP="00654BC5">
            <w:pPr>
              <w:spacing w:line="18pt" w:lineRule="auto"/>
              <w:jc w:val="center"/>
              <w:rPr>
                <w:rFonts w:ascii="Times New Roman" w:eastAsia="Times New Roman" w:hAnsi="Times New Roman" w:cs="Times New Roman"/>
                <w:sz w:val="24"/>
                <w:szCs w:val="24"/>
              </w:rPr>
            </w:pPr>
          </w:p>
          <w:p w14:paraId="6326A9A3"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Explicativo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5D46CAEC"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de imágenes con redes neuronales convolucionales, minería de textos con modelos de lenguaje basados en transformadores, experimentos de laboratorio</w:t>
            </w:r>
          </w:p>
        </w:tc>
      </w:tr>
      <w:tr w:rsidR="00D51211" w14:paraId="577CC573"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5D1C64D1" w14:textId="64E4EDD1" w:rsidR="00D51211" w:rsidRDefault="00D51211" w:rsidP="00654BC5">
            <w:pPr>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Herhausen</w:t>
            </w:r>
            <w:proofErr w:type="spellEnd"/>
            <w:r>
              <w:rPr>
                <w:rFonts w:ascii="Times New Roman" w:eastAsia="Times New Roman" w:hAnsi="Times New Roman" w:cs="Times New Roman"/>
                <w:sz w:val="24"/>
                <w:szCs w:val="24"/>
              </w:rPr>
              <w:t xml:space="preserve"> </w:t>
            </w:r>
            <w:r w:rsidR="00E023C8">
              <w:rPr>
                <w:rFonts w:ascii="Times New Roman" w:eastAsia="Times New Roman" w:hAnsi="Times New Roman" w:cs="Times New Roman"/>
                <w:sz w:val="24"/>
                <w:szCs w:val="24"/>
              </w:rPr>
              <w:t>et al., (</w:t>
            </w:r>
            <w:r>
              <w:rPr>
                <w:rFonts w:ascii="Times New Roman" w:eastAsia="Times New Roman" w:hAnsi="Times New Roman" w:cs="Times New Roman"/>
                <w:sz w:val="24"/>
                <w:szCs w:val="24"/>
              </w:rPr>
              <w:t>2022)</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25549B7D"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9DDE406"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Explicativo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10819D50"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Procesamiento de lenguaje natural, experimentos controlados</w:t>
            </w:r>
          </w:p>
        </w:tc>
      </w:tr>
      <w:tr w:rsidR="00D51211" w14:paraId="1164A00A"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68AFC03D" w14:textId="2EDBA4FD"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(Brooks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2021)</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96EE0D7"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6DB47B88"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FF41208"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Entrevistas</w:t>
            </w:r>
          </w:p>
        </w:tc>
      </w:tr>
      <w:tr w:rsidR="00D51211" w14:paraId="5C8A303A" w14:textId="77777777" w:rsidTr="00654BC5">
        <w:trPr>
          <w:trHeight w:val="537"/>
        </w:trPr>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5C5C5F05" w14:textId="7D658288"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(Moran </w:t>
            </w:r>
            <w:r w:rsidR="00E023C8">
              <w:rPr>
                <w:rFonts w:ascii="Times New Roman" w:eastAsia="Times New Roman" w:hAnsi="Times New Roman" w:cs="Times New Roman"/>
                <w:sz w:val="24"/>
                <w:szCs w:val="24"/>
              </w:rPr>
              <w:t>et al.,</w:t>
            </w:r>
            <w:r>
              <w:rPr>
                <w:rFonts w:ascii="Times New Roman" w:eastAsia="Times New Roman" w:hAnsi="Times New Roman" w:cs="Times New Roman"/>
                <w:sz w:val="24"/>
                <w:szCs w:val="24"/>
              </w:rPr>
              <w:t xml:space="preserve"> 2020)</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5EB63648"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0F4D3E7A"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21628B64"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Análisis de datos de Facebook </w:t>
            </w:r>
            <w:proofErr w:type="spellStart"/>
            <w:r>
              <w:rPr>
                <w:rFonts w:ascii="Times New Roman" w:eastAsia="Times New Roman" w:hAnsi="Times New Roman" w:cs="Times New Roman"/>
                <w:sz w:val="24"/>
                <w:szCs w:val="24"/>
              </w:rPr>
              <w:t>Insights</w:t>
            </w:r>
            <w:proofErr w:type="spellEnd"/>
          </w:p>
        </w:tc>
      </w:tr>
      <w:tr w:rsidR="00D51211" w14:paraId="014388F1"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C69040D" w14:textId="00D4F943"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(Yao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,2022)</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23CD3E8A"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13E5097B"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Explicativo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54A962E3"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Entrevistas semiestructuradas, documentos, observación directa</w:t>
            </w:r>
          </w:p>
        </w:tc>
      </w:tr>
      <w:tr w:rsidR="00D51211" w14:paraId="101620B4"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16E93D4D" w14:textId="77777777" w:rsidR="00D51211" w:rsidRDefault="00D51211" w:rsidP="00654BC5">
            <w:pPr>
              <w:spacing w:line="18pt"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Jagdish</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Sheth</w:t>
            </w:r>
            <w:proofErr w:type="spellEnd"/>
            <w:r>
              <w:rPr>
                <w:rFonts w:ascii="Times New Roman" w:eastAsia="Times New Roman" w:hAnsi="Times New Roman" w:cs="Times New Roman"/>
                <w:sz w:val="24"/>
                <w:szCs w:val="24"/>
              </w:rPr>
              <w:t xml:space="preserve"> (2020)</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0CE16BD9"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EF31DA4"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Explicativo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0FC4E872"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Revisión de literatura</w:t>
            </w:r>
          </w:p>
        </w:tc>
      </w:tr>
      <w:tr w:rsidR="00D51211" w14:paraId="01722D59"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BF15136" w14:textId="139950F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(Susan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2021)</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3C56AD2"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79FCAD6"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Explicativo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083557B3"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Encuestas en Línea </w:t>
            </w:r>
          </w:p>
        </w:tc>
      </w:tr>
      <w:tr w:rsidR="00D51211" w14:paraId="59A20EEE" w14:textId="77777777" w:rsidTr="00654BC5">
        <w:trPr>
          <w:trHeight w:val="897"/>
        </w:trPr>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14424F1B" w14:textId="43073DA5"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sidR="00E023C8">
              <w:rPr>
                <w:rFonts w:ascii="Times New Roman" w:eastAsia="Times New Roman" w:hAnsi="Times New Roman" w:cs="Times New Roman"/>
                <w:sz w:val="24"/>
                <w:szCs w:val="24"/>
              </w:rPr>
              <w:t>Nawar</w:t>
            </w:r>
            <w:proofErr w:type="spellEnd"/>
            <w:r w:rsidR="00E023C8">
              <w:rPr>
                <w:rFonts w:ascii="Times New Roman" w:eastAsia="Times New Roman" w:hAnsi="Times New Roman" w:cs="Times New Roman"/>
                <w:sz w:val="24"/>
                <w:szCs w:val="24"/>
              </w:rPr>
              <w:t xml:space="preserve"> et</w:t>
            </w:r>
            <w:r>
              <w:rPr>
                <w:rFonts w:ascii="Times New Roman" w:eastAsia="Times New Roman" w:hAnsi="Times New Roman" w:cs="Times New Roman"/>
                <w:sz w:val="24"/>
                <w:szCs w:val="24"/>
              </w:rPr>
              <w:t xml:space="preserve">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2022)</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4EE172E2"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A0136A9"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Explicativo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5B9AB86D"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Entrevistas </w:t>
            </w:r>
          </w:p>
        </w:tc>
      </w:tr>
      <w:tr w:rsidR="00D51211" w14:paraId="1BE53A57"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923986D" w14:textId="065861F9"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roofErr w:type="spellStart"/>
            <w:r>
              <w:rPr>
                <w:rFonts w:ascii="Times New Roman" w:eastAsia="Times New Roman" w:hAnsi="Times New Roman" w:cs="Times New Roman"/>
                <w:sz w:val="24"/>
                <w:szCs w:val="24"/>
              </w:rPr>
              <w:t>Dhruv</w:t>
            </w:r>
            <w:proofErr w:type="spellEnd"/>
            <w:r>
              <w:rPr>
                <w:rFonts w:ascii="Times New Roman" w:eastAsia="Times New Roman" w:hAnsi="Times New Roman" w:cs="Times New Roman"/>
                <w:sz w:val="24"/>
                <w:szCs w:val="24"/>
              </w:rPr>
              <w:t xml:space="preserve">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2022)</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259B70E1"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57463510"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B6E9209"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de investigación seleccionadas en dominios de comunicación digital.</w:t>
            </w:r>
          </w:p>
        </w:tc>
      </w:tr>
      <w:tr w:rsidR="00D51211" w14:paraId="37B66C64"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43FBD1A1" w14:textId="45F9C7E3"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Anjala</w:t>
            </w:r>
            <w:proofErr w:type="spellEnd"/>
            <w:r>
              <w:rPr>
                <w:rFonts w:ascii="Times New Roman" w:eastAsia="Times New Roman" w:hAnsi="Times New Roman" w:cs="Times New Roman"/>
                <w:sz w:val="24"/>
                <w:szCs w:val="24"/>
              </w:rPr>
              <w:t xml:space="preserve">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2021)</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2EA5E5E8"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2D71B5A5"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7E5255E7"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Análisis Redes de </w:t>
            </w:r>
            <w:proofErr w:type="spellStart"/>
            <w:r>
              <w:rPr>
                <w:rFonts w:ascii="Times New Roman" w:eastAsia="Times New Roman" w:hAnsi="Times New Roman" w:cs="Times New Roman"/>
                <w:sz w:val="24"/>
                <w:szCs w:val="24"/>
              </w:rPr>
              <w:t>cocitación</w:t>
            </w:r>
            <w:proofErr w:type="spellEnd"/>
            <w:r>
              <w:rPr>
                <w:rFonts w:ascii="Times New Roman" w:eastAsia="Times New Roman" w:hAnsi="Times New Roman" w:cs="Times New Roman"/>
                <w:sz w:val="24"/>
                <w:szCs w:val="24"/>
              </w:rPr>
              <w:t xml:space="preserve"> de artículos y revistas.</w:t>
            </w:r>
          </w:p>
        </w:tc>
      </w:tr>
      <w:tr w:rsidR="00D51211" w14:paraId="0F7FE99E"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6C68FA56"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Mattioli</w:t>
            </w:r>
            <w:proofErr w:type="spellEnd"/>
            <w:r>
              <w:rPr>
                <w:rFonts w:ascii="Times New Roman" w:eastAsia="Times New Roman" w:hAnsi="Times New Roman" w:cs="Times New Roman"/>
                <w:sz w:val="24"/>
                <w:szCs w:val="24"/>
              </w:rPr>
              <w:t xml:space="preserve"> et al., 2020)</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1258B66C"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705B0667"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6F118DF5"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Cuestionarios</w:t>
            </w:r>
          </w:p>
        </w:tc>
      </w:tr>
      <w:tr w:rsidR="00D51211" w14:paraId="07B419AD"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931FE62" w14:textId="426623A5"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Fraccastoro</w:t>
            </w:r>
            <w:proofErr w:type="spellEnd"/>
            <w:r>
              <w:rPr>
                <w:rFonts w:ascii="Times New Roman" w:eastAsia="Times New Roman" w:hAnsi="Times New Roman" w:cs="Times New Roman"/>
                <w:sz w:val="24"/>
                <w:szCs w:val="24"/>
              </w:rPr>
              <w:t xml:space="preserve">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,2021)</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4DF8C0FB"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5B102CAE"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Exploratorio y descriptivo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168F04B4"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Entrevistas</w:t>
            </w:r>
          </w:p>
        </w:tc>
      </w:tr>
      <w:tr w:rsidR="00D51211" w14:paraId="55CC5395"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2349C2BD" w14:textId="33CB1F66"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(Petersen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2022)</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5FC08BAC"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78BB3C78"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Exploratorio y explicativo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420BB284"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Entrevistas</w:t>
            </w:r>
          </w:p>
        </w:tc>
      </w:tr>
      <w:tr w:rsidR="00D51211" w14:paraId="4BAC6248"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1AAF6EF8" w14:textId="5E7C45C8"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(Gartner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2021)</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5740F2E3"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71B2E3A6"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Explicativo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76D45ACD"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Encuestas</w:t>
            </w:r>
          </w:p>
        </w:tc>
      </w:tr>
      <w:tr w:rsidR="00D51211" w14:paraId="52CB5503"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2F434F15" w14:textId="40F832CE"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Herhausen</w:t>
            </w:r>
            <w:proofErr w:type="spellEnd"/>
            <w:r>
              <w:rPr>
                <w:rFonts w:ascii="Times New Roman" w:eastAsia="Times New Roman" w:hAnsi="Times New Roman" w:cs="Times New Roman"/>
                <w:sz w:val="24"/>
                <w:szCs w:val="24"/>
              </w:rPr>
              <w:t xml:space="preserve">,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 2020)</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443D93D3"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095CCC2A"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Explicativo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481117D0"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Encuestas a clientes</w:t>
            </w:r>
          </w:p>
        </w:tc>
      </w:tr>
      <w:tr w:rsidR="00D51211" w14:paraId="0EBA1E96" w14:textId="77777777" w:rsidTr="00654BC5">
        <w:trPr>
          <w:trHeight w:val="441"/>
        </w:trPr>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5D8934BF"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Varsha</w:t>
            </w:r>
            <w:proofErr w:type="spellEnd"/>
            <w:r>
              <w:rPr>
                <w:rFonts w:ascii="Times New Roman" w:eastAsia="Times New Roman" w:hAnsi="Times New Roman" w:cs="Times New Roman"/>
                <w:sz w:val="24"/>
                <w:szCs w:val="24"/>
              </w:rPr>
              <w:t xml:space="preserve"> et al 2022)</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73B9695C"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2B0BF6CB"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Exploratoria</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050793B4"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Entrevistas semiestructuradas en profundidad</w:t>
            </w:r>
          </w:p>
        </w:tc>
      </w:tr>
      <w:tr w:rsidR="00D51211" w14:paraId="763AC125"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15340AD4" w14:textId="05839420" w:rsidR="00D51211" w:rsidRPr="00AF2E30" w:rsidRDefault="00D51211" w:rsidP="00654BC5">
            <w:pPr>
              <w:spacing w:line="18pt" w:lineRule="auto"/>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Jonah Berger, Wendy W. Moe, &amp; David A. </w:t>
            </w:r>
            <w:proofErr w:type="spellStart"/>
            <w:r w:rsidRPr="00AF2E30">
              <w:rPr>
                <w:rFonts w:ascii="Times New Roman" w:eastAsia="Times New Roman" w:hAnsi="Times New Roman" w:cs="Times New Roman"/>
                <w:sz w:val="24"/>
                <w:szCs w:val="24"/>
                <w:lang w:val="en-US"/>
              </w:rPr>
              <w:t>Schweidel</w:t>
            </w:r>
            <w:proofErr w:type="spellEnd"/>
            <w:r w:rsidRPr="00AF2E30">
              <w:rPr>
                <w:rFonts w:ascii="Times New Roman" w:eastAsia="Times New Roman" w:hAnsi="Times New Roman" w:cs="Times New Roman"/>
                <w:sz w:val="24"/>
                <w:szCs w:val="24"/>
                <w:lang w:val="en-US"/>
              </w:rPr>
              <w:t xml:space="preserve"> </w:t>
            </w:r>
            <w:r w:rsidR="00E023C8" w:rsidRPr="00AF2E30">
              <w:rPr>
                <w:rFonts w:ascii="Times New Roman" w:eastAsia="Times New Roman" w:hAnsi="Times New Roman" w:cs="Times New Roman"/>
                <w:sz w:val="24"/>
                <w:szCs w:val="24"/>
                <w:lang w:val="en-US"/>
              </w:rPr>
              <w:t>(2023</w:t>
            </w:r>
            <w:r w:rsidRPr="00AF2E30">
              <w:rPr>
                <w:rFonts w:ascii="Times New Roman" w:eastAsia="Times New Roman" w:hAnsi="Times New Roman" w:cs="Times New Roman"/>
                <w:sz w:val="24"/>
                <w:szCs w:val="24"/>
                <w:lang w:val="en-US"/>
              </w:rPr>
              <w:t>)</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0890328C"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Mixto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1EEFDBEF"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Explicativo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72D526B4"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Utiliza una combinación de Procesamiento del Lenguaje Natural (NLP), experimentos controlados y análisis de emociones.</w:t>
            </w:r>
          </w:p>
        </w:tc>
      </w:tr>
      <w:tr w:rsidR="00D51211" w14:paraId="753D0A57"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4710AF16" w14:textId="6FC777DF"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Kalra</w:t>
            </w:r>
            <w:proofErr w:type="spellEnd"/>
            <w:r>
              <w:rPr>
                <w:rFonts w:ascii="Times New Roman" w:eastAsia="Times New Roman" w:hAnsi="Times New Roman" w:cs="Times New Roman"/>
                <w:sz w:val="24"/>
                <w:szCs w:val="24"/>
              </w:rPr>
              <w:t xml:space="preserve">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,2023)</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6619C890"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Cuantitativa</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063039E5"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Explicativo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0329CA28"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Cuestionario</w:t>
            </w:r>
          </w:p>
        </w:tc>
      </w:tr>
      <w:tr w:rsidR="00D51211" w14:paraId="55F16A2C"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41C29316" w14:textId="2B7CBE0F"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(Ferraro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,2024)</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6091778D"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Mixto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47A43DC7"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Exploratorio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02E2E82B"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Encuestas</w:t>
            </w:r>
          </w:p>
        </w:tc>
      </w:tr>
      <w:tr w:rsidR="00D51211" w14:paraId="26EA4E0D" w14:textId="77777777" w:rsidTr="00654BC5">
        <w:tc>
          <w:tcPr>
            <w:tcW w:w="126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29830ECD"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Lewis Hood, S. (2021)</w:t>
            </w:r>
          </w:p>
        </w:tc>
        <w:tc>
          <w:tcPr>
            <w:tcW w:w="74.2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23DB9FC6"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c>
          <w:tcPr>
            <w:tcW w:w="76.50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B8D257A" w14:textId="77777777" w:rsidR="00D51211" w:rsidRDefault="00D51211" w:rsidP="00654BC5">
            <w:pPr>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Descriptivo y explicativo</w:t>
            </w:r>
          </w:p>
        </w:tc>
        <w:tc>
          <w:tcPr>
            <w:tcW w:w="207.75pt" w:type="dxa"/>
            <w:tcBorders>
              <w:top w:val="single" w:sz="8" w:space="0" w:color="000000"/>
              <w:start w:val="single" w:sz="8" w:space="0" w:color="000000"/>
              <w:bottom w:val="single" w:sz="8" w:space="0" w:color="000000"/>
              <w:end w:val="single" w:sz="8" w:space="0" w:color="000000"/>
            </w:tcBorders>
            <w:tcMar>
              <w:top w:w="5pt" w:type="dxa"/>
              <w:start w:w="5pt" w:type="dxa"/>
              <w:bottom w:w="5pt" w:type="dxa"/>
              <w:end w:w="5pt" w:type="dxa"/>
            </w:tcMar>
          </w:tcPr>
          <w:p w14:paraId="30E39C27" w14:textId="77777777" w:rsidR="00D51211" w:rsidRDefault="00D51211" w:rsidP="00654BC5">
            <w:pPr>
              <w:spacing w:line="18pt"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Cuestionario</w:t>
            </w:r>
          </w:p>
        </w:tc>
      </w:tr>
    </w:tbl>
    <w:p w14:paraId="05C0FFF3" w14:textId="77777777" w:rsidR="00D51211" w:rsidRDefault="00D51211" w:rsidP="00D51211">
      <w:pPr>
        <w:widowControl w:val="0"/>
        <w:spacing w:after="12pt" w:line="18pt"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Fuente: Elaboración Propia</w:t>
      </w:r>
    </w:p>
    <w:p w14:paraId="5827BBBB" w14:textId="77777777" w:rsidR="00D51211" w:rsidRDefault="00D51211" w:rsidP="00D51211">
      <w:pPr>
        <w:widowControl w:val="0"/>
        <w:spacing w:after="12pt" w:line="18pt" w:lineRule="auto"/>
        <w:jc w:val="both"/>
        <w:rPr>
          <w:rFonts w:ascii="Times New Roman" w:eastAsia="Times New Roman" w:hAnsi="Times New Roman" w:cs="Times New Roman"/>
          <w:sz w:val="24"/>
          <w:szCs w:val="24"/>
        </w:rPr>
      </w:pPr>
    </w:p>
    <w:p w14:paraId="0759E674" w14:textId="77777777" w:rsidR="00D51211" w:rsidRDefault="00D51211" w:rsidP="00D51211">
      <w:pPr>
        <w:widowControl w:val="0"/>
        <w:spacing w:after="12pt" w:line="18pt" w:lineRule="auto"/>
        <w:ind w:firstLine="28.30pt"/>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Luego de examinar los artículos y considerar los diversos enfoques, alcances e instrumentos utilizados en cada investigación, se ha observado que no hay mucha diferencia en cuanto al tipo de enfoque empleado. De los artículos analizados en esta revisión, el 38.10% optaron por un enfoque cuantitativo, mientras que el 47,60% seleccionaron el enfoque cualitativo y solo el 14.30% corresponde a un enfoque mixto, todo ello en base a los 21 artículos analizados.</w:t>
      </w:r>
    </w:p>
    <w:p w14:paraId="1EEAAABD" w14:textId="77777777" w:rsidR="00D51211" w:rsidRDefault="00D51211" w:rsidP="00D51211">
      <w:pPr>
        <w:widowControl w:val="0"/>
        <w:spacing w:after="12pt" w:line="18pt"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Figura 2. Enfoque metodológico de las investigaciones</w:t>
      </w:r>
    </w:p>
    <w:p w14:paraId="2BA4C9C9" w14:textId="77777777" w:rsidR="00D51211" w:rsidRDefault="00D51211" w:rsidP="00D51211">
      <w:pPr>
        <w:widowControl w:val="0"/>
        <w:spacing w:after="12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4618CC4" wp14:editId="6174C32B">
            <wp:extent cx="4514850" cy="2695575"/>
            <wp:effectExtent l="12700" t="12700" r="12700" b="12700"/>
            <wp:docPr id="3" name="image3.png" descr="Gráfico, Gráfico de barras&#10;&#10;Descripción generada automáticamente"/>
            <wp:cNvGraphicFramePr/>
            <a:graphic xmlns:a="http://purl.oclc.org/ooxml/drawingml/main">
              <a:graphicData uri="http://purl.oclc.org/ooxml/drawingml/picture">
                <pic:pic xmlns:pic="http://purl.oclc.org/ooxml/drawingml/picture">
                  <pic:nvPicPr>
                    <pic:cNvPr id="3" name="image3.png" descr="Gráfico, Gráfico de barras&#10;&#10;Descripción generada automáticamente"/>
                    <pic:cNvPicPr preferRelativeResize="0"/>
                  </pic:nvPicPr>
                  <pic:blipFill>
                    <a:blip r:embed="rId26"/>
                    <a:srcRect/>
                    <a:stretch>
                      <a:fillRect/>
                    </a:stretch>
                  </pic:blipFill>
                  <pic:spPr>
                    <a:xfrm>
                      <a:off x="0" y="0"/>
                      <a:ext cx="4514850" cy="2695575"/>
                    </a:xfrm>
                    <a:prstGeom prst="rect">
                      <a:avLst/>
                    </a:prstGeom>
                    <a:ln w="12700">
                      <a:solidFill>
                        <a:srgbClr val="000000"/>
                      </a:solidFill>
                      <a:prstDash val="solid"/>
                    </a:ln>
                  </pic:spPr>
                </pic:pic>
              </a:graphicData>
            </a:graphic>
          </wp:inline>
        </w:drawing>
      </w:r>
    </w:p>
    <w:p w14:paraId="6BDDF58A" w14:textId="77777777" w:rsidR="00D51211" w:rsidRDefault="00D51211" w:rsidP="00D51211">
      <w:pPr>
        <w:widowControl w:val="0"/>
        <w:spacing w:after="12pt" w:line="18pt"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Fuente. Elaboración Propia</w:t>
      </w:r>
    </w:p>
    <w:p w14:paraId="3D21A0F3" w14:textId="77777777" w:rsidR="00D51211" w:rsidRDefault="00D51211" w:rsidP="00D51211">
      <w:pPr>
        <w:widowControl w:val="0"/>
        <w:spacing w:after="12pt"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investigación cuantitativa, según lo mencionado por Smith y Johnson (2018), se </w:t>
      </w:r>
      <w:r>
        <w:rPr>
          <w:rFonts w:ascii="Times New Roman" w:eastAsia="Times New Roman" w:hAnsi="Times New Roman" w:cs="Times New Roman"/>
          <w:sz w:val="24"/>
          <w:szCs w:val="24"/>
        </w:rPr>
        <w:lastRenderedPageBreak/>
        <w:t xml:space="preserve">dedica a la recopilación y análisis de datos numéricos y </w:t>
      </w:r>
      <w:proofErr w:type="spellStart"/>
      <w:r>
        <w:rPr>
          <w:rFonts w:ascii="Times New Roman" w:eastAsia="Times New Roman" w:hAnsi="Times New Roman" w:cs="Times New Roman"/>
          <w:sz w:val="24"/>
          <w:szCs w:val="24"/>
        </w:rPr>
        <w:t>estadísticos.En</w:t>
      </w:r>
      <w:proofErr w:type="spellEnd"/>
      <w:r>
        <w:rPr>
          <w:rFonts w:ascii="Times New Roman" w:eastAsia="Times New Roman" w:hAnsi="Times New Roman" w:cs="Times New Roman"/>
          <w:sz w:val="24"/>
          <w:szCs w:val="24"/>
        </w:rPr>
        <w:t xml:space="preserve"> contraste, la investigación cualitativa, como subraya Creswell (2017), se centra en la adquisición de datos descriptivos y narrativos que permiten una comprensión profunda de los fenómenos y la exploración de perspectivas individuales. Por otro lado, el enfoque mixto implica la integración de datos cuantitativos y cualitativos en una investigación para abordar una pregunta específica. Se justifica la elección de este enfoque considerando que ambos métodos se utilizan en la mayoría de las etapas de la investigación, lo que permite obtener información diversa y una comprensión más completa del fenómeno estudiado (</w:t>
      </w:r>
      <w:proofErr w:type="spellStart"/>
      <w:r>
        <w:rPr>
          <w:rFonts w:ascii="Times New Roman" w:eastAsia="Times New Roman" w:hAnsi="Times New Roman" w:cs="Times New Roman"/>
          <w:sz w:val="24"/>
          <w:szCs w:val="24"/>
        </w:rPr>
        <w:t>Guelmes</w:t>
      </w:r>
      <w:proofErr w:type="spellEnd"/>
      <w:r>
        <w:rPr>
          <w:rFonts w:ascii="Times New Roman" w:eastAsia="Times New Roman" w:hAnsi="Times New Roman" w:cs="Times New Roman"/>
          <w:sz w:val="24"/>
          <w:szCs w:val="24"/>
        </w:rPr>
        <w:t xml:space="preserve"> et al,2015).</w:t>
      </w:r>
    </w:p>
    <w:p w14:paraId="4E2860D2" w14:textId="06D6CFDA" w:rsidR="00D51211" w:rsidRDefault="00D51211" w:rsidP="00D51211">
      <w:pPr>
        <w:widowControl w:val="0"/>
        <w:spacing w:after="12pt" w:line="18pt" w:lineRule="auto"/>
        <w:ind w:firstLine="28.30pt"/>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Asimismo, en cuanto a los instrumentos utilizados, los autores optaron es su mayoría por entrevistas </w:t>
      </w:r>
      <w:r w:rsidR="00E023C8">
        <w:rPr>
          <w:rFonts w:ascii="Times New Roman" w:eastAsia="Times New Roman" w:hAnsi="Times New Roman" w:cs="Times New Roman"/>
          <w:sz w:val="24"/>
          <w:szCs w:val="24"/>
        </w:rPr>
        <w:t>semiestructuradas,</w:t>
      </w:r>
      <w:r>
        <w:rPr>
          <w:rFonts w:ascii="Times New Roman" w:eastAsia="Times New Roman" w:hAnsi="Times New Roman" w:cs="Times New Roman"/>
          <w:sz w:val="24"/>
          <w:szCs w:val="24"/>
        </w:rPr>
        <w:t xml:space="preserve"> encuestas en </w:t>
      </w:r>
      <w:r w:rsidR="00E023C8">
        <w:rPr>
          <w:rFonts w:ascii="Times New Roman" w:eastAsia="Times New Roman" w:hAnsi="Times New Roman" w:cs="Times New Roman"/>
          <w:sz w:val="24"/>
          <w:szCs w:val="24"/>
        </w:rPr>
        <w:t>línea, análisis</w:t>
      </w:r>
      <w:r>
        <w:rPr>
          <w:rFonts w:ascii="Times New Roman" w:eastAsia="Times New Roman" w:hAnsi="Times New Roman" w:cs="Times New Roman"/>
          <w:sz w:val="24"/>
          <w:szCs w:val="24"/>
        </w:rPr>
        <w:t xml:space="preserve"> de datos digitales, análisis de imágenes con redes neuronales convolucionales, procesamiento de lenguaje natural, análisis de datos de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insights</w:t>
      </w:r>
      <w:proofErr w:type="spellEnd"/>
      <w:r>
        <w:rPr>
          <w:rFonts w:ascii="Times New Roman" w:eastAsia="Times New Roman" w:hAnsi="Times New Roman" w:cs="Times New Roman"/>
          <w:sz w:val="24"/>
          <w:szCs w:val="24"/>
        </w:rPr>
        <w:t xml:space="preserve">, análisis redes de </w:t>
      </w:r>
      <w:proofErr w:type="spellStart"/>
      <w:r>
        <w:rPr>
          <w:rFonts w:ascii="Times New Roman" w:eastAsia="Times New Roman" w:hAnsi="Times New Roman" w:cs="Times New Roman"/>
          <w:sz w:val="24"/>
          <w:szCs w:val="24"/>
        </w:rPr>
        <w:t>cocitación</w:t>
      </w:r>
      <w:proofErr w:type="spellEnd"/>
      <w:r>
        <w:rPr>
          <w:rFonts w:ascii="Times New Roman" w:eastAsia="Times New Roman" w:hAnsi="Times New Roman" w:cs="Times New Roman"/>
          <w:sz w:val="24"/>
          <w:szCs w:val="24"/>
        </w:rPr>
        <w:t xml:space="preserve"> de artículos y revistas. </w:t>
      </w:r>
    </w:p>
    <w:p w14:paraId="7E172A42" w14:textId="4F89F9CD" w:rsidR="00D51211" w:rsidRDefault="00D51211" w:rsidP="00D51211">
      <w:pPr>
        <w:widowControl w:val="0"/>
        <w:spacing w:after="12pt" w:line="18pt"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Figura </w:t>
      </w:r>
      <w:r w:rsidR="00E023C8">
        <w:rPr>
          <w:rFonts w:ascii="Times New Roman" w:eastAsia="Times New Roman" w:hAnsi="Times New Roman" w:cs="Times New Roman"/>
          <w:b/>
          <w:i/>
          <w:sz w:val="24"/>
          <w:szCs w:val="24"/>
        </w:rPr>
        <w:t>3. Instrumentos</w:t>
      </w:r>
      <w:r>
        <w:rPr>
          <w:rFonts w:ascii="Times New Roman" w:eastAsia="Times New Roman" w:hAnsi="Times New Roman" w:cs="Times New Roman"/>
          <w:b/>
          <w:i/>
          <w:sz w:val="24"/>
          <w:szCs w:val="24"/>
        </w:rPr>
        <w:t xml:space="preserve"> utilizados en las investigaciones seleccionados</w:t>
      </w:r>
    </w:p>
    <w:p w14:paraId="59BD1B3D" w14:textId="77777777" w:rsidR="00D51211" w:rsidRDefault="00D51211" w:rsidP="00D51211">
      <w:pPr>
        <w:widowControl w:val="0"/>
        <w:spacing w:after="12pt" w:line="18pt" w:lineRule="auto"/>
        <w:jc w:val="both"/>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14:anchorId="66527E3A" wp14:editId="57702408">
            <wp:simplePos x="0" y="0"/>
            <wp:positionH relativeFrom="column">
              <wp:posOffset>-66674</wp:posOffset>
            </wp:positionH>
            <wp:positionV relativeFrom="paragraph">
              <wp:posOffset>114300</wp:posOffset>
            </wp:positionV>
            <wp:extent cx="4457700" cy="2667000"/>
            <wp:effectExtent l="12700" t="12700" r="12700" b="12700"/>
            <wp:wrapSquare wrapText="bothSides" distT="114300" distB="114300" distL="114300" distR="114300"/>
            <wp:docPr id="1" name="image2.png" descr="Gráfico, Gráfico de barras&#10;&#10;Descripción generada automáticamente"/>
            <wp:cNvGraphicFramePr/>
            <a:graphic xmlns:a="http://purl.oclc.org/ooxml/drawingml/main">
              <a:graphicData uri="http://purl.oclc.org/ooxml/drawingml/picture">
                <pic:pic xmlns:pic="http://purl.oclc.org/ooxml/drawingml/picture">
                  <pic:nvPicPr>
                    <pic:cNvPr id="1" name="image2.png" descr="Gráfico, Gráfico de barras&#10;&#10;Descripción generada automáticamente"/>
                    <pic:cNvPicPr preferRelativeResize="0"/>
                  </pic:nvPicPr>
                  <pic:blipFill>
                    <a:blip r:embed="rId27"/>
                    <a:srcRect/>
                    <a:stretch>
                      <a:fillRect/>
                    </a:stretch>
                  </pic:blipFill>
                  <pic:spPr>
                    <a:xfrm>
                      <a:off x="0" y="0"/>
                      <a:ext cx="4457700" cy="2667000"/>
                    </a:xfrm>
                    <a:prstGeom prst="rect">
                      <a:avLst/>
                    </a:prstGeom>
                    <a:ln w="12700">
                      <a:solidFill>
                        <a:srgbClr val="000000"/>
                      </a:solidFill>
                      <a:prstDash val="solid"/>
                    </a:ln>
                  </pic:spPr>
                </pic:pic>
              </a:graphicData>
            </a:graphic>
          </wp:anchor>
        </w:drawing>
      </w:r>
    </w:p>
    <w:p w14:paraId="46CAD757" w14:textId="77777777" w:rsidR="00D51211" w:rsidRDefault="00D51211" w:rsidP="00D51211">
      <w:pPr>
        <w:widowControl w:val="0"/>
        <w:spacing w:after="12pt" w:line="18pt" w:lineRule="auto"/>
        <w:jc w:val="both"/>
        <w:rPr>
          <w:rFonts w:ascii="Times New Roman" w:eastAsia="Times New Roman" w:hAnsi="Times New Roman" w:cs="Times New Roman"/>
          <w:sz w:val="24"/>
          <w:szCs w:val="24"/>
        </w:rPr>
      </w:pPr>
    </w:p>
    <w:p w14:paraId="6EB3F8D3" w14:textId="77777777" w:rsidR="00D51211" w:rsidRDefault="00D51211" w:rsidP="00D51211">
      <w:pPr>
        <w:widowControl w:val="0"/>
        <w:spacing w:after="12pt" w:line="18pt" w:lineRule="auto"/>
        <w:jc w:val="both"/>
        <w:rPr>
          <w:rFonts w:ascii="Times New Roman" w:eastAsia="Times New Roman" w:hAnsi="Times New Roman" w:cs="Times New Roman"/>
          <w:sz w:val="24"/>
          <w:szCs w:val="24"/>
        </w:rPr>
      </w:pPr>
    </w:p>
    <w:p w14:paraId="095D96CA" w14:textId="77777777" w:rsidR="00D51211" w:rsidRDefault="00D51211" w:rsidP="00D51211">
      <w:pPr>
        <w:widowControl w:val="0"/>
        <w:spacing w:after="12pt" w:line="18pt" w:lineRule="auto"/>
        <w:jc w:val="both"/>
        <w:rPr>
          <w:rFonts w:ascii="Times New Roman" w:eastAsia="Times New Roman" w:hAnsi="Times New Roman" w:cs="Times New Roman"/>
          <w:sz w:val="24"/>
          <w:szCs w:val="24"/>
        </w:rPr>
      </w:pPr>
    </w:p>
    <w:p w14:paraId="666E78A8" w14:textId="77777777" w:rsidR="00D51211" w:rsidRDefault="00D51211" w:rsidP="00D51211">
      <w:pPr>
        <w:widowControl w:val="0"/>
        <w:spacing w:after="12pt" w:line="18pt" w:lineRule="auto"/>
        <w:jc w:val="both"/>
        <w:rPr>
          <w:rFonts w:ascii="Times New Roman" w:eastAsia="Times New Roman" w:hAnsi="Times New Roman" w:cs="Times New Roman"/>
          <w:sz w:val="24"/>
          <w:szCs w:val="24"/>
        </w:rPr>
      </w:pPr>
    </w:p>
    <w:p w14:paraId="3717A47E" w14:textId="77777777" w:rsidR="00D51211" w:rsidRDefault="00D51211" w:rsidP="00D51211">
      <w:pPr>
        <w:widowControl w:val="0"/>
        <w:spacing w:after="12pt" w:line="18pt" w:lineRule="auto"/>
        <w:jc w:val="both"/>
        <w:rPr>
          <w:rFonts w:ascii="Times New Roman" w:eastAsia="Times New Roman" w:hAnsi="Times New Roman" w:cs="Times New Roman"/>
          <w:sz w:val="24"/>
          <w:szCs w:val="24"/>
        </w:rPr>
      </w:pPr>
    </w:p>
    <w:p w14:paraId="210E38FD" w14:textId="77777777" w:rsidR="00D51211" w:rsidRDefault="00D51211" w:rsidP="00D51211">
      <w:pPr>
        <w:widowControl w:val="0"/>
        <w:spacing w:after="12pt" w:line="18pt" w:lineRule="auto"/>
        <w:jc w:val="both"/>
        <w:rPr>
          <w:rFonts w:ascii="Times New Roman" w:eastAsia="Times New Roman" w:hAnsi="Times New Roman" w:cs="Times New Roman"/>
          <w:sz w:val="24"/>
          <w:szCs w:val="24"/>
        </w:rPr>
      </w:pPr>
    </w:p>
    <w:p w14:paraId="39ACF2C4" w14:textId="77777777" w:rsidR="00D51211" w:rsidRDefault="00D51211" w:rsidP="00D51211">
      <w:pPr>
        <w:widowControl w:val="0"/>
        <w:spacing w:after="12pt" w:line="18pt" w:lineRule="auto"/>
        <w:jc w:val="both"/>
        <w:rPr>
          <w:rFonts w:ascii="Times New Roman" w:eastAsia="Times New Roman" w:hAnsi="Times New Roman" w:cs="Times New Roman"/>
          <w:i/>
          <w:sz w:val="24"/>
          <w:szCs w:val="24"/>
        </w:rPr>
      </w:pPr>
    </w:p>
    <w:p w14:paraId="3AEA0D2A" w14:textId="77777777" w:rsidR="00D51211" w:rsidRDefault="00D51211" w:rsidP="00D51211">
      <w:pPr>
        <w:widowControl w:val="0"/>
        <w:spacing w:after="12pt" w:line="18pt"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Fuente. Elaboración Propia</w:t>
      </w:r>
    </w:p>
    <w:p w14:paraId="0B26079C" w14:textId="43FF0FF2" w:rsidR="00D51211" w:rsidRDefault="00D51211" w:rsidP="00E023C8">
      <w:pPr>
        <w:widowControl w:val="0"/>
        <w:spacing w:after="12pt" w:line="18pt" w:lineRule="auto"/>
        <w:ind w:firstLine="28.30pt"/>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Finalmente, en las investigaciones previamente mencionadas, las unidades de </w:t>
      </w:r>
      <w:r>
        <w:rPr>
          <w:rFonts w:ascii="Times New Roman" w:eastAsia="Times New Roman" w:hAnsi="Times New Roman" w:cs="Times New Roman"/>
          <w:sz w:val="24"/>
          <w:szCs w:val="24"/>
        </w:rPr>
        <w:lastRenderedPageBreak/>
        <w:t xml:space="preserve">análisis representan los elementos particulares que fueron examinados en cada caso. Estas unidades son fundamentales para entender qué aspectos fueron evaluados en cada investigación. Por ejemplo, en el estudio de Gartner et al .( 2021), la unidad de análisis son los clientes individuales de una organización sin fines de lucro que participaron en la encuesta. Los datos recopilados de estos clientes se utilizaron para analizar las relaciones entre variables, como la confianza en la marca, la calidad del proceso y del resultado, y el efecto moderador del canal de redes sociales. Específicamente, los efectos difieren entre YouTube, Facebook y Instagram, lo que implica que las organizaciones sin fines de </w:t>
      </w:r>
      <w:r w:rsidR="00E023C8">
        <w:rPr>
          <w:rFonts w:ascii="Times New Roman" w:eastAsia="Times New Roman" w:hAnsi="Times New Roman" w:cs="Times New Roman"/>
          <w:sz w:val="24"/>
          <w:szCs w:val="24"/>
        </w:rPr>
        <w:t>lucro deben</w:t>
      </w:r>
      <w:r>
        <w:rPr>
          <w:rFonts w:ascii="Times New Roman" w:eastAsia="Times New Roman" w:hAnsi="Times New Roman" w:cs="Times New Roman"/>
          <w:sz w:val="24"/>
          <w:szCs w:val="24"/>
        </w:rPr>
        <w:t xml:space="preserve"> considerar cuidadosamente qué canales de redes sociales utilizan y cómo lo hacen para optimizar el impacto de la confianza en la marca en la calidad del servicio.</w:t>
      </w:r>
    </w:p>
    <w:p w14:paraId="4CFEAFEE" w14:textId="7D3304F3" w:rsidR="00D51211" w:rsidRDefault="00D51211" w:rsidP="00D51211">
      <w:pPr>
        <w:widowControl w:val="0"/>
        <w:spacing w:after="12pt" w:line="18pt"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Objetivo </w:t>
      </w:r>
      <w:r w:rsidR="00E023C8">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Analizar las conclusiones de las investigaciones sobre el marketing digital y redes sociales.</w:t>
      </w:r>
    </w:p>
    <w:p w14:paraId="61B02981" w14:textId="77777777" w:rsidR="00D51211" w:rsidRDefault="00D51211" w:rsidP="00D51211">
      <w:pPr>
        <w:widowControl w:val="0"/>
        <w:pBdr>
          <w:top w:val="none" w:sz="0" w:space="0" w:color="E3E3E3"/>
          <w:left w:val="none" w:sz="0" w:space="0" w:color="E3E3E3"/>
          <w:bottom w:val="none" w:sz="0" w:space="0" w:color="E3E3E3"/>
          <w:right w:val="none" w:sz="0" w:space="0" w:color="E3E3E3"/>
          <w:between w:val="none" w:sz="0" w:space="0" w:color="E3E3E3"/>
        </w:pBdr>
        <w:spacing w:line="18pt" w:lineRule="auto"/>
        <w:ind w:firstLine="28.30p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relación con las conclusiones de los artículos revisados, la Tabla 5 sintetiza investigaciones importantes sobre marketing digital, mostrando autores y sus hallazgos. Se destacan temas como la influencia en las pymes, la gestión de redes sociales, los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y la importancia de comprender el marketing digital, entre otros. Ofrece una visión general de las tendencias y desafíos, siendo una referencia útil para investigadores y profesionales del marketing digital.</w:t>
      </w:r>
    </w:p>
    <w:p w14:paraId="3E353738" w14:textId="77777777" w:rsidR="00D51211" w:rsidRDefault="00D51211" w:rsidP="00D51211">
      <w:pPr>
        <w:widowControl w:val="0"/>
        <w:pBdr>
          <w:top w:val="none" w:sz="0" w:space="0" w:color="E3E3E3"/>
          <w:left w:val="none" w:sz="0" w:space="0" w:color="E3E3E3"/>
          <w:bottom w:val="none" w:sz="0" w:space="0" w:color="E3E3E3"/>
          <w:right w:val="none" w:sz="0" w:space="0" w:color="E3E3E3"/>
          <w:between w:val="none" w:sz="0" w:space="0" w:color="E3E3E3"/>
        </w:pBdr>
        <w:spacing w:line="18pt" w:lineRule="auto"/>
        <w:jc w:val="both"/>
        <w:rPr>
          <w:rFonts w:ascii="Times New Roman" w:eastAsia="Times New Roman" w:hAnsi="Times New Roman" w:cs="Times New Roman"/>
          <w:sz w:val="24"/>
          <w:szCs w:val="24"/>
        </w:rPr>
      </w:pPr>
    </w:p>
    <w:p w14:paraId="1A9434C4" w14:textId="77777777" w:rsidR="00D51211" w:rsidRDefault="00D51211" w:rsidP="00D51211">
      <w:pPr>
        <w:widowControl w:val="0"/>
        <w:spacing w:after="12pt" w:line="18pt" w:lineRule="auto"/>
        <w:ind w:start="28.30pt"/>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Tabla 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highlight w:val="white"/>
        </w:rPr>
        <w:t>Autores y conclusiones de las investigaciones seleccionadas</w:t>
      </w:r>
    </w:p>
    <w:tbl>
      <w:tblPr>
        <w:tblW w:w="450pt" w:type="dxa"/>
        <w:tblBorders>
          <w:top w:val="single" w:sz="8" w:space="0" w:color="000000"/>
          <w:start w:val="single" w:sz="8" w:space="0" w:color="000000"/>
          <w:bottom w:val="single" w:sz="8" w:space="0" w:color="000000"/>
          <w:end w:val="single" w:sz="8" w:space="0" w:color="000000"/>
          <w:insideH w:val="single" w:sz="8" w:space="0" w:color="000000"/>
          <w:insideV w:val="single" w:sz="8" w:space="0" w:color="000000"/>
        </w:tblBorders>
        <w:tblLayout w:type="fixed"/>
        <w:tblLook w:firstRow="0" w:lastRow="0" w:firstColumn="0" w:lastColumn="0" w:noHBand="1" w:noVBand="1"/>
      </w:tblPr>
      <w:tblGrid>
        <w:gridCol w:w="1935"/>
        <w:gridCol w:w="7065"/>
      </w:tblGrid>
      <w:tr w:rsidR="00D51211" w14:paraId="3AE5958E"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42B8F960"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Theo et al. (2020)</w:t>
            </w:r>
          </w:p>
        </w:tc>
        <w:tc>
          <w:tcPr>
            <w:tcW w:w="353.25pt" w:type="dxa"/>
            <w:tcBorders>
              <w:top w:val="single" w:sz="6" w:space="0" w:color="000000"/>
              <w:start w:val="single" w:sz="6" w:space="0" w:color="FFFFFF"/>
              <w:bottom w:val="single" w:sz="6" w:space="0" w:color="000000"/>
              <w:end w:val="single" w:sz="6" w:space="0" w:color="FFFFFF"/>
            </w:tcBorders>
            <w:shd w:val="clear" w:color="auto" w:fill="FFFFFF"/>
            <w:tcMar>
              <w:top w:w="2pt" w:type="dxa"/>
              <w:start w:w="2pt" w:type="dxa"/>
              <w:bottom w:w="2pt" w:type="dxa"/>
              <w:end w:w="2pt" w:type="dxa"/>
            </w:tcMar>
            <w:vAlign w:val="center"/>
          </w:tcPr>
          <w:p w14:paraId="4D43BE3A"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propone que la planificación de medios evolucione de la compra de exposición a la promoción del compromiso a través de interacciones significativas y sostenibles con los consumidores. Se destaca la importancia de la medición y las consideraciones éticas en la publicidad computacional.</w:t>
            </w:r>
          </w:p>
        </w:tc>
      </w:tr>
      <w:tr w:rsidR="00D51211" w14:paraId="7E6584B8"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14A7444D"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Jochen et al. (2021)</w:t>
            </w:r>
          </w:p>
        </w:tc>
        <w:tc>
          <w:tcPr>
            <w:tcW w:w="353.25pt" w:type="dxa"/>
            <w:tcBorders>
              <w:top w:val="single" w:sz="6" w:space="0" w:color="000000"/>
              <w:start w:val="single" w:sz="6" w:space="0" w:color="FFFFFF"/>
              <w:bottom w:val="single" w:sz="6" w:space="0" w:color="000000"/>
              <w:end w:val="single" w:sz="6" w:space="0" w:color="FFFFFF"/>
            </w:tcBorders>
            <w:shd w:val="clear" w:color="auto" w:fill="FFFFFF"/>
            <w:tcMar>
              <w:top w:w="2pt" w:type="dxa"/>
              <w:start w:w="2pt" w:type="dxa"/>
              <w:bottom w:w="2pt" w:type="dxa"/>
              <w:end w:w="2pt" w:type="dxa"/>
            </w:tcMar>
            <w:vAlign w:val="center"/>
          </w:tcPr>
          <w:p w14:paraId="6FF3FE09"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w:t>
            </w:r>
            <w:proofErr w:type="spellStart"/>
            <w:r>
              <w:rPr>
                <w:rFonts w:ascii="Times New Roman" w:eastAsia="Times New Roman" w:hAnsi="Times New Roman" w:cs="Times New Roman"/>
                <w:sz w:val="24"/>
                <w:szCs w:val="24"/>
              </w:rPr>
              <w:t>brand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selfies</w:t>
            </w:r>
            <w:proofErr w:type="spellEnd"/>
            <w:r>
              <w:rPr>
                <w:rFonts w:ascii="Times New Roman" w:eastAsia="Times New Roman" w:hAnsi="Times New Roman" w:cs="Times New Roman"/>
                <w:sz w:val="24"/>
                <w:szCs w:val="24"/>
              </w:rPr>
              <w:t>" (productos de marca sostenidos por consumidores invisibles) generan mayor intención de compra y compromiso con la marca en comparación con "</w:t>
            </w:r>
            <w:proofErr w:type="spellStart"/>
            <w:r>
              <w:rPr>
                <w:rFonts w:ascii="Times New Roman" w:eastAsia="Times New Roman" w:hAnsi="Times New Roman" w:cs="Times New Roman"/>
                <w:sz w:val="24"/>
                <w:szCs w:val="24"/>
              </w:rPr>
              <w:t>consumer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selfies</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selfies</w:t>
            </w:r>
            <w:proofErr w:type="spellEnd"/>
            <w:r>
              <w:rPr>
                <w:rFonts w:ascii="Times New Roman" w:eastAsia="Times New Roman" w:hAnsi="Times New Roman" w:cs="Times New Roman"/>
                <w:sz w:val="24"/>
                <w:szCs w:val="24"/>
              </w:rPr>
              <w:t xml:space="preserve"> con caras visibles de consumidores).</w:t>
            </w:r>
          </w:p>
        </w:tc>
      </w:tr>
      <w:tr w:rsidR="00D51211" w14:paraId="129EBC3B"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17A184F3"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Herhausen</w:t>
            </w:r>
            <w:proofErr w:type="spellEnd"/>
            <w:r>
              <w:rPr>
                <w:rFonts w:ascii="Times New Roman" w:eastAsia="Times New Roman" w:hAnsi="Times New Roman" w:cs="Times New Roman"/>
                <w:sz w:val="24"/>
                <w:szCs w:val="24"/>
              </w:rPr>
              <w:t xml:space="preserve"> et al. (2022)</w:t>
            </w:r>
          </w:p>
        </w:tc>
        <w:tc>
          <w:tcPr>
            <w:tcW w:w="353.25pt" w:type="dxa"/>
            <w:tcBorders>
              <w:top w:val="single" w:sz="6" w:space="0" w:color="000000"/>
              <w:start w:val="single" w:sz="6" w:space="0" w:color="FFFFFF"/>
              <w:bottom w:val="single" w:sz="6" w:space="0" w:color="000000"/>
              <w:end w:val="single" w:sz="6" w:space="0" w:color="FFFFFF"/>
            </w:tcBorders>
            <w:shd w:val="clear" w:color="auto" w:fill="FFFFFF"/>
            <w:tcMar>
              <w:top w:w="2pt" w:type="dxa"/>
              <w:start w:w="2pt" w:type="dxa"/>
              <w:bottom w:w="2pt" w:type="dxa"/>
              <w:end w:w="2pt" w:type="dxa"/>
            </w:tcMar>
            <w:vAlign w:val="center"/>
          </w:tcPr>
          <w:p w14:paraId="2A762CBB"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escucha activa y la empatía en las respuestas de las empresas pueden </w:t>
            </w:r>
            <w:proofErr w:type="spellStart"/>
            <w:r>
              <w:rPr>
                <w:rFonts w:ascii="Times New Roman" w:eastAsia="Times New Roman" w:hAnsi="Times New Roman" w:cs="Times New Roman"/>
                <w:sz w:val="24"/>
                <w:szCs w:val="24"/>
              </w:rPr>
              <w:t>desescalar</w:t>
            </w:r>
            <w:proofErr w:type="spellEnd"/>
            <w:r>
              <w:rPr>
                <w:rFonts w:ascii="Times New Roman" w:eastAsia="Times New Roman" w:hAnsi="Times New Roman" w:cs="Times New Roman"/>
                <w:sz w:val="24"/>
                <w:szCs w:val="24"/>
              </w:rPr>
              <w:t xml:space="preserve"> las emociones negativas de alta excitación de los clientes, aumentando la probabilidad de que los clientes sientan gratitud</w:t>
            </w:r>
          </w:p>
        </w:tc>
      </w:tr>
      <w:tr w:rsidR="00D51211" w14:paraId="4EAC511A"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6EA7E30C"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Brooks et al. (2021)</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39BE255E"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proceso de "</w:t>
            </w:r>
            <w:proofErr w:type="spellStart"/>
            <w:r>
              <w:rPr>
                <w:rFonts w:ascii="Times New Roman" w:eastAsia="Times New Roman" w:hAnsi="Times New Roman" w:cs="Times New Roman"/>
                <w:sz w:val="24"/>
                <w:szCs w:val="24"/>
              </w:rPr>
              <w:t>celebrificación</w:t>
            </w:r>
            <w:proofErr w:type="spellEnd"/>
            <w:r>
              <w:rPr>
                <w:rFonts w:ascii="Times New Roman" w:eastAsia="Times New Roman" w:hAnsi="Times New Roman" w:cs="Times New Roman"/>
                <w:sz w:val="24"/>
                <w:szCs w:val="24"/>
              </w:rPr>
              <w:t xml:space="preserve">" de los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implica prácticas generativas, colaborativas y evaluativas. Los profesionales publicitarios actúan como exploradores de talentos, conserjes creativos y analistas de impacto en este proceso.</w:t>
            </w:r>
          </w:p>
        </w:tc>
      </w:tr>
      <w:tr w:rsidR="00D51211" w14:paraId="1CA55D8F"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43B03700"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Moran et al. (2020)</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5A3ACBB2"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señales de interactividad (CTA) y la riqueza de los medios (videos, fotos) aumentan significativamente el compromiso del consumidor con la marca.</w:t>
            </w:r>
          </w:p>
        </w:tc>
      </w:tr>
      <w:tr w:rsidR="00D51211" w14:paraId="7BB7F034"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0F02EE06"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Yao et al. (2022)</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7E72230F"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de redes sociales integran recursos para la innovación de servicios, actuando como comunicadores e innovadores y utilizando las propiedades de las tecnologías de medios sociales para facilitar estos comportamientos.</w:t>
            </w:r>
          </w:p>
        </w:tc>
      </w:tr>
      <w:tr w:rsidR="00D51211" w14:paraId="6BC2DD2F"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5A870189"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Jagdish</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Sheth</w:t>
            </w:r>
            <w:proofErr w:type="spellEnd"/>
            <w:r>
              <w:rPr>
                <w:rFonts w:ascii="Times New Roman" w:eastAsia="Times New Roman" w:hAnsi="Times New Roman" w:cs="Times New Roman"/>
                <w:sz w:val="24"/>
                <w:szCs w:val="24"/>
              </w:rPr>
              <w:t xml:space="preserve"> (2020)</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0852CE59"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medios sociales tienen un impacto disruptivo y transformador en el marketing internacional. Proponen cinco dimensiones de creación de valor: acceso, asequibilidad, aceptación, conciencia y activación.</w:t>
            </w:r>
          </w:p>
        </w:tc>
      </w:tr>
      <w:tr w:rsidR="00D51211" w14:paraId="68063B6A"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2DAC3E66"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Susan et al. (2021)</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43E29F4E"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clientes son más influenciados por los mensajes del proveedor transmitidos a través de las redes sociales, en lugar de por las creencias compartidas sobre las redes sociales o lo que escuchan de otros clientes en línea.</w:t>
            </w:r>
          </w:p>
        </w:tc>
      </w:tr>
      <w:tr w:rsidR="00D51211" w14:paraId="7508A56C"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522247AB"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Nawar</w:t>
            </w:r>
            <w:proofErr w:type="spellEnd"/>
            <w:r>
              <w:rPr>
                <w:rFonts w:ascii="Times New Roman" w:eastAsia="Times New Roman" w:hAnsi="Times New Roman" w:cs="Times New Roman"/>
                <w:sz w:val="24"/>
                <w:szCs w:val="24"/>
              </w:rPr>
              <w:t xml:space="preserve"> et al.2022)</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0824561F"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hallazgos indican que los vendedores internos utilizan las redes sociales y los recursos tecnológicos digitales proporcionados por las </w:t>
            </w:r>
            <w:r>
              <w:rPr>
                <w:rFonts w:ascii="Times New Roman" w:eastAsia="Times New Roman" w:hAnsi="Times New Roman" w:cs="Times New Roman"/>
                <w:sz w:val="24"/>
                <w:szCs w:val="24"/>
              </w:rPr>
              <w:lastRenderedPageBreak/>
              <w:t>empresas para interactuar digitalmente con sus clientes, lo que finalmente influye en su desempeño laboral.</w:t>
            </w:r>
          </w:p>
        </w:tc>
      </w:tr>
      <w:tr w:rsidR="00D51211" w14:paraId="7555FCC6"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67BF08FB"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Dhruv</w:t>
            </w:r>
            <w:proofErr w:type="spellEnd"/>
            <w:r>
              <w:rPr>
                <w:rFonts w:ascii="Times New Roman" w:eastAsia="Times New Roman" w:hAnsi="Times New Roman" w:cs="Times New Roman"/>
                <w:sz w:val="24"/>
                <w:szCs w:val="24"/>
              </w:rPr>
              <w:t xml:space="preserve"> et al. (2022)</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26C882FD"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estudio destaca la importancia de comprender y abordar las dinámicas y multimodalidades de la comunicación digital en el contexto minorista para obtener información valiosa sobre el comportamiento del consumidor y el desarrollo del mercado. Se resalta la necesidad de investigar y comprender las propiedades dinámicas de la comunicación, así como las diferentes modalidades de comunicación (numérica, texto, audio, imagen y video) para obtener perspectivas tanto sobre los consumidores como sobre los mercados.</w:t>
            </w:r>
          </w:p>
        </w:tc>
      </w:tr>
      <w:tr w:rsidR="00D51211" w14:paraId="497BFDA9"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7ECF2219"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Anjala</w:t>
            </w:r>
            <w:proofErr w:type="spellEnd"/>
            <w:r>
              <w:rPr>
                <w:rFonts w:ascii="Times New Roman" w:eastAsia="Times New Roman" w:hAnsi="Times New Roman" w:cs="Times New Roman"/>
                <w:sz w:val="24"/>
                <w:szCs w:val="24"/>
              </w:rPr>
              <w:t xml:space="preserve"> et al. (2021)</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6B5C281E"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analiza la evolución de las tendencias de investigación en marketing digital, identificando a los principales autores, coautores y temas relacionados con el marketing digital interactivo. Estos hallazgos ofrecen información valiosa para investigadores y profesionales en el campo del marketing digital.</w:t>
            </w:r>
          </w:p>
        </w:tc>
      </w:tr>
      <w:tr w:rsidR="00D51211" w14:paraId="0C4A9F74"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34BF127D"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Mattioli</w:t>
            </w:r>
            <w:proofErr w:type="spellEnd"/>
            <w:r>
              <w:rPr>
                <w:rFonts w:ascii="Times New Roman" w:eastAsia="Times New Roman" w:hAnsi="Times New Roman" w:cs="Times New Roman"/>
                <w:sz w:val="24"/>
                <w:szCs w:val="24"/>
              </w:rPr>
              <w:t xml:space="preserve"> et al. (2020)</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213513F0"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estudio mencionado en el documento destaca la importancia de considerar tanto las características del contenido digital de los canales de fitness en YouTube como de los </w:t>
            </w:r>
            <w:proofErr w:type="spellStart"/>
            <w:r>
              <w:rPr>
                <w:rFonts w:ascii="Times New Roman" w:eastAsia="Times New Roman" w:hAnsi="Times New Roman" w:cs="Times New Roman"/>
                <w:sz w:val="24"/>
                <w:szCs w:val="24"/>
              </w:rPr>
              <w:t>YouTubers</w:t>
            </w:r>
            <w:proofErr w:type="spellEnd"/>
            <w:r>
              <w:rPr>
                <w:rFonts w:ascii="Times New Roman" w:eastAsia="Times New Roman" w:hAnsi="Times New Roman" w:cs="Times New Roman"/>
                <w:sz w:val="24"/>
                <w:szCs w:val="24"/>
              </w:rPr>
              <w:t xml:space="preserve"> en el desarrollo de la lealtad de los usuarios hacia estos canales. Además, se resalta la relevancia de comprender el comportamiento del consumidor en el mundo digital, especialmente durante la pandemia de COVID-19, y se enfatiza la importancia de la evaluación cognitiva en la experiencia del usuario en entornos virtuales</w:t>
            </w:r>
          </w:p>
        </w:tc>
      </w:tr>
      <w:tr w:rsidR="00D51211" w14:paraId="3B66893B"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25D3E0A3"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Fraccastoro</w:t>
            </w:r>
            <w:proofErr w:type="spellEnd"/>
            <w:r>
              <w:rPr>
                <w:rFonts w:ascii="Times New Roman" w:eastAsia="Times New Roman" w:hAnsi="Times New Roman" w:cs="Times New Roman"/>
                <w:sz w:val="24"/>
                <w:szCs w:val="24"/>
              </w:rPr>
              <w:t xml:space="preserve"> et al. (2021)</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4C5D893B"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Resaltan la importancia de comprender cómo las herramientas de comunicación impactan el proceso de ventas B2B en un contexto </w:t>
            </w:r>
            <w:r>
              <w:rPr>
                <w:rFonts w:ascii="Times New Roman" w:eastAsia="Times New Roman" w:hAnsi="Times New Roman" w:cs="Times New Roman"/>
                <w:sz w:val="24"/>
                <w:szCs w:val="24"/>
              </w:rPr>
              <w:lastRenderedPageBreak/>
              <w:t>internacional y cómo las PYME pueden beneficiarse de su integración en diferentes fases del proceso de ventas</w:t>
            </w:r>
          </w:p>
        </w:tc>
      </w:tr>
      <w:tr w:rsidR="00D51211" w14:paraId="11B17E45"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67AB6C61"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Petersen et al. (2022)</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3669BE2C"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destaca la importancia de comprender cómo las fuerzas digitales y globales impactan en la interacción de los clientes con las empresas en diferentes contextos económicos, culturales y tecnológicos. Proporciona un marco integrado para desarrollar y ejecutar estrategias de ejecución basadas en el cliente en un entorno global y digital, con el objetivo de inspirar avances significativos en áreas de investigación relacionadas con la participación del cliente, la digitalización y el entorno global en constante cambio</w:t>
            </w:r>
          </w:p>
        </w:tc>
      </w:tr>
      <w:tr w:rsidR="00D51211" w14:paraId="16CD5C29"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6145E033"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Gartner et al. (2021)</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50B6FB23"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elección del canal de redes sociales tiene un efecto moderador significativo en esta relación. Específicamente, los efectos difieren entre YouTube, Facebook y Instagram, lo que implica que las organizaciones sin fines de lucro deben considerar cuidadosamente qué canales de redes sociales utilizan y cómo lo hacen para optimizar el impacto de la confianza en la marca en la calidad del servicio.</w:t>
            </w:r>
          </w:p>
        </w:tc>
      </w:tr>
      <w:tr w:rsidR="00D51211" w14:paraId="551AB922"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5F5560B1"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Herhausen</w:t>
            </w:r>
            <w:proofErr w:type="spellEnd"/>
            <w:r>
              <w:rPr>
                <w:rFonts w:ascii="Times New Roman" w:eastAsia="Times New Roman" w:hAnsi="Times New Roman" w:cs="Times New Roman"/>
                <w:sz w:val="24"/>
                <w:szCs w:val="24"/>
              </w:rPr>
              <w:t>, et al. (2020)</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696B514C"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Resaltan la importancia de la presencia digital de empleados en los sitios web de servicios y cómo puede influir en las percepciones de los clientes, la lealtad y el rendimiento empresarial, así como los factores que pueden modular estos efectos</w:t>
            </w:r>
          </w:p>
        </w:tc>
      </w:tr>
      <w:tr w:rsidR="00D51211" w14:paraId="3C12CFAA"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7D3D3619"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Varsha</w:t>
            </w:r>
            <w:proofErr w:type="spellEnd"/>
            <w:r>
              <w:rPr>
                <w:rFonts w:ascii="Times New Roman" w:eastAsia="Times New Roman" w:hAnsi="Times New Roman" w:cs="Times New Roman"/>
                <w:sz w:val="24"/>
                <w:szCs w:val="24"/>
              </w:rPr>
              <w:t xml:space="preserve"> et al. (2022)</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30515ABD"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estudio resalta la relevancia de la calidad de la relación en el marketing de educación superior, su influencia en la participación de los </w:t>
            </w:r>
            <w:proofErr w:type="spellStart"/>
            <w:r>
              <w:rPr>
                <w:rFonts w:ascii="Times New Roman" w:eastAsia="Times New Roman" w:hAnsi="Times New Roman" w:cs="Times New Roman"/>
                <w:sz w:val="24"/>
                <w:szCs w:val="24"/>
              </w:rPr>
              <w:t>stakeholders</w:t>
            </w:r>
            <w:proofErr w:type="spellEnd"/>
            <w:r>
              <w:rPr>
                <w:rFonts w:ascii="Times New Roman" w:eastAsia="Times New Roman" w:hAnsi="Times New Roman" w:cs="Times New Roman"/>
                <w:sz w:val="24"/>
                <w:szCs w:val="24"/>
              </w:rPr>
              <w:t xml:space="preserve"> y la </w:t>
            </w:r>
            <w:proofErr w:type="spellStart"/>
            <w:r>
              <w:rPr>
                <w:rFonts w:ascii="Times New Roman" w:eastAsia="Times New Roman" w:hAnsi="Times New Roman" w:cs="Times New Roman"/>
                <w:sz w:val="24"/>
                <w:szCs w:val="24"/>
              </w:rPr>
              <w:t>co-creación</w:t>
            </w:r>
            <w:proofErr w:type="spellEnd"/>
            <w:r>
              <w:rPr>
                <w:rFonts w:ascii="Times New Roman" w:eastAsia="Times New Roman" w:hAnsi="Times New Roman" w:cs="Times New Roman"/>
                <w:sz w:val="24"/>
                <w:szCs w:val="24"/>
              </w:rPr>
              <w:t xml:space="preserve"> de valor con las universidades.</w:t>
            </w:r>
          </w:p>
        </w:tc>
      </w:tr>
      <w:tr w:rsidR="00D51211" w14:paraId="16D98BF5"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38B57FC7" w14:textId="29C1A0FC"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Berger et al. </w:t>
            </w:r>
            <w:r w:rsidR="00E023C8">
              <w:rPr>
                <w:rFonts w:ascii="Times New Roman" w:eastAsia="Times New Roman" w:hAnsi="Times New Roman" w:cs="Times New Roman"/>
                <w:sz w:val="24"/>
                <w:szCs w:val="24"/>
              </w:rPr>
              <w:t>(2023</w:t>
            </w:r>
            <w:r>
              <w:rPr>
                <w:rFonts w:ascii="Times New Roman" w:eastAsia="Times New Roman" w:hAnsi="Times New Roman" w:cs="Times New Roman"/>
                <w:sz w:val="24"/>
                <w:szCs w:val="24"/>
              </w:rPr>
              <w:t>)</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bottom"/>
          </w:tcPr>
          <w:p w14:paraId="25F3D906"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estudio fusiona análisis de lectura con experimentos y encuentra que el lenguaje emocional y la facilidad de comprensión son esenciales para mantener la atención. Descubre qué emociones como ansiedad, emoción y esperanza impulsan la lectura, mientras que la tristeza la disminuye.</w:t>
            </w:r>
          </w:p>
        </w:tc>
      </w:tr>
      <w:tr w:rsidR="00D51211" w14:paraId="44E6242A"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32DAE223" w14:textId="183BDB72"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roofErr w:type="spellStart"/>
            <w:r>
              <w:rPr>
                <w:rFonts w:ascii="Times New Roman" w:eastAsia="Times New Roman" w:hAnsi="Times New Roman" w:cs="Times New Roman"/>
                <w:sz w:val="24"/>
                <w:szCs w:val="24"/>
              </w:rPr>
              <w:t>Kalra</w:t>
            </w:r>
            <w:proofErr w:type="spellEnd"/>
            <w:r>
              <w:rPr>
                <w:rFonts w:ascii="Times New Roman" w:eastAsia="Times New Roman" w:hAnsi="Times New Roman" w:cs="Times New Roman"/>
                <w:sz w:val="24"/>
                <w:szCs w:val="24"/>
              </w:rPr>
              <w:t xml:space="preserve"> et </w:t>
            </w:r>
            <w:r w:rsidR="00E023C8">
              <w:rPr>
                <w:rFonts w:ascii="Times New Roman" w:eastAsia="Times New Roman" w:hAnsi="Times New Roman" w:cs="Times New Roman"/>
                <w:sz w:val="24"/>
                <w:szCs w:val="24"/>
              </w:rPr>
              <w:t>al.</w:t>
            </w:r>
            <w:r>
              <w:rPr>
                <w:rFonts w:ascii="Times New Roman" w:eastAsia="Times New Roman" w:hAnsi="Times New Roman" w:cs="Times New Roman"/>
                <w:sz w:val="24"/>
                <w:szCs w:val="24"/>
              </w:rPr>
              <w:t>,2023)</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12223208"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estudio concluye que el empoderamiento del gerente y la promoción de la creatividad entre los vendedores pueden ser estrategias clave para maximizar los beneficios del uso de redes sociales en el ámbito de las ventas y el marketing.</w:t>
            </w:r>
          </w:p>
        </w:tc>
      </w:tr>
      <w:tr w:rsidR="00D51211" w14:paraId="6AF0D30B"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4C062F22"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Ferraro et al. (2024)</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bottom"/>
          </w:tcPr>
          <w:p w14:paraId="244AF6F5"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estudio destaca la importancia de la diversidad en los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virtuales y cómo esta puede mejorar las actitudes y comportamientos de los consumidores hacia los </w:t>
            </w:r>
            <w:proofErr w:type="spellStart"/>
            <w:r>
              <w:rPr>
                <w:rFonts w:ascii="Times New Roman" w:eastAsia="Times New Roman" w:hAnsi="Times New Roman" w:cs="Times New Roman"/>
                <w:sz w:val="24"/>
                <w:szCs w:val="24"/>
              </w:rPr>
              <w:t>influencers</w:t>
            </w:r>
            <w:proofErr w:type="spellEnd"/>
            <w:r>
              <w:rPr>
                <w:rFonts w:ascii="Times New Roman" w:eastAsia="Times New Roman" w:hAnsi="Times New Roman" w:cs="Times New Roman"/>
                <w:sz w:val="24"/>
                <w:szCs w:val="24"/>
              </w:rPr>
              <w:t xml:space="preserve"> y las marcas asociadas.</w:t>
            </w:r>
          </w:p>
        </w:tc>
      </w:tr>
      <w:tr w:rsidR="00D51211" w14:paraId="5BED4A76" w14:textId="77777777" w:rsidTr="00654BC5">
        <w:tc>
          <w:tcPr>
            <w:tcW w:w="96.7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33DD361F" w14:textId="77777777" w:rsidR="00D51211" w:rsidRDefault="00D51211" w:rsidP="00654BC5">
            <w:pPr>
              <w:widowControl w:val="0"/>
              <w:spacing w:line="18pt"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Lewis Hood, S. (2021)</w:t>
            </w:r>
          </w:p>
        </w:tc>
        <w:tc>
          <w:tcPr>
            <w:tcW w:w="353.25pt" w:type="dxa"/>
            <w:tcBorders>
              <w:top w:val="single" w:sz="6" w:space="0" w:color="000000"/>
              <w:start w:val="single" w:sz="6" w:space="0" w:color="FFFFFF"/>
              <w:bottom w:val="single" w:sz="6" w:space="0" w:color="000000"/>
              <w:end w:val="single" w:sz="6" w:space="0" w:color="FFFFFF"/>
            </w:tcBorders>
            <w:tcMar>
              <w:top w:w="2pt" w:type="dxa"/>
              <w:start w:w="2pt" w:type="dxa"/>
              <w:bottom w:w="2pt" w:type="dxa"/>
              <w:end w:w="2pt" w:type="dxa"/>
            </w:tcMar>
            <w:vAlign w:val="center"/>
          </w:tcPr>
          <w:p w14:paraId="4872171B" w14:textId="77777777" w:rsidR="00D51211" w:rsidRDefault="00D51211" w:rsidP="00654BC5">
            <w:pPr>
              <w:spacing w:line="18pt"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estudio proporciona información valiosa sobre cómo Instagram impacta en el comportamiento de compra de los consumidores jóvenes y cómo factores como la confianza y la influencia de contenido afectan sus decisiones.</w:t>
            </w:r>
          </w:p>
        </w:tc>
      </w:tr>
    </w:tbl>
    <w:p w14:paraId="394E8109" w14:textId="77777777" w:rsidR="00D51211" w:rsidRDefault="00D51211" w:rsidP="00D51211">
      <w:pPr>
        <w:widowControl w:val="0"/>
        <w:spacing w:after="12pt" w:line="18pt"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i/>
          <w:sz w:val="24"/>
          <w:szCs w:val="24"/>
        </w:rPr>
        <w:t>Fuente. Elaboración Propia</w:t>
      </w:r>
    </w:p>
    <w:p w14:paraId="13B90CE4" w14:textId="77777777" w:rsidR="00D51211" w:rsidRDefault="00D51211" w:rsidP="00D51211">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15pt" w:after="15pt" w:line="18pt" w:lineRule="auto"/>
        <w:ind w:firstLine="28.30pt"/>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El marketing digital ha revolucionado la forma en que las empresas interactúan con los consumidores y ha incrementado significativamente la efectividad de las estrategias en redes sociales. Diversos estudios y análisis teóricos han demostrado que las redes sociales no solo sirven como plataformas de interacción, sino también como herramientas poderosas para la innovación en servicios, la creación de valor y la generación de capital de celebridad.</w:t>
      </w:r>
    </w:p>
    <w:p w14:paraId="3D303968" w14:textId="77777777" w:rsidR="00D51211" w:rsidRDefault="00D51211" w:rsidP="00D51211">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15pt" w:after="15pt" w:line="18pt" w:lineRule="auto"/>
        <w:ind w:firstLine="28.30pt"/>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Wu et al. (2022) destacan que los </w:t>
      </w:r>
      <w:proofErr w:type="spellStart"/>
      <w:r>
        <w:rPr>
          <w:rFonts w:ascii="Times New Roman" w:eastAsia="Times New Roman" w:hAnsi="Times New Roman" w:cs="Times New Roman"/>
          <w:color w:val="0D0D0D"/>
          <w:sz w:val="24"/>
          <w:szCs w:val="24"/>
        </w:rPr>
        <w:t>influencers</w:t>
      </w:r>
      <w:proofErr w:type="spellEnd"/>
      <w:r>
        <w:rPr>
          <w:rFonts w:ascii="Times New Roman" w:eastAsia="Times New Roman" w:hAnsi="Times New Roman" w:cs="Times New Roman"/>
          <w:color w:val="0D0D0D"/>
          <w:sz w:val="24"/>
          <w:szCs w:val="24"/>
        </w:rPr>
        <w:t xml:space="preserve"> de redes sociales integran recursos para la innovación de servicios, actuando como comunicadores e innovadores. Utilizan las propiedades tecnológicas de las redes sociales para facilitar estos comportamientos, demostrando que la colaboración con </w:t>
      </w:r>
      <w:proofErr w:type="spellStart"/>
      <w:r>
        <w:rPr>
          <w:rFonts w:ascii="Times New Roman" w:eastAsia="Times New Roman" w:hAnsi="Times New Roman" w:cs="Times New Roman"/>
          <w:color w:val="0D0D0D"/>
          <w:sz w:val="24"/>
          <w:szCs w:val="24"/>
        </w:rPr>
        <w:t>influencers</w:t>
      </w:r>
      <w:proofErr w:type="spellEnd"/>
      <w:r>
        <w:rPr>
          <w:rFonts w:ascii="Times New Roman" w:eastAsia="Times New Roman" w:hAnsi="Times New Roman" w:cs="Times New Roman"/>
          <w:color w:val="0D0D0D"/>
          <w:sz w:val="24"/>
          <w:szCs w:val="24"/>
        </w:rPr>
        <w:t xml:space="preserve"> puede mejorar significativamente la efectividad de las estrategias de marketing en redes sociales.</w:t>
      </w:r>
    </w:p>
    <w:p w14:paraId="7E17158E" w14:textId="77777777" w:rsidR="00D51211" w:rsidRDefault="00D51211" w:rsidP="00D51211">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15pt" w:after="15pt" w:line="18pt" w:lineRule="auto"/>
        <w:ind w:firstLine="28.30pt"/>
        <w:jc w:val="both"/>
        <w:rPr>
          <w:rFonts w:ascii="Times New Roman" w:eastAsia="Times New Roman" w:hAnsi="Times New Roman" w:cs="Times New Roman"/>
          <w:color w:val="0D0D0D"/>
          <w:sz w:val="24"/>
          <w:szCs w:val="24"/>
        </w:rPr>
      </w:pPr>
      <w:proofErr w:type="spellStart"/>
      <w:r>
        <w:rPr>
          <w:rFonts w:ascii="Times New Roman" w:eastAsia="Times New Roman" w:hAnsi="Times New Roman" w:cs="Times New Roman"/>
          <w:color w:val="0D0D0D"/>
          <w:sz w:val="24"/>
          <w:szCs w:val="24"/>
        </w:rPr>
        <w:t>Sheth</w:t>
      </w:r>
      <w:proofErr w:type="spellEnd"/>
      <w:r>
        <w:rPr>
          <w:rFonts w:ascii="Times New Roman" w:eastAsia="Times New Roman" w:hAnsi="Times New Roman" w:cs="Times New Roman"/>
          <w:color w:val="0D0D0D"/>
          <w:sz w:val="24"/>
          <w:szCs w:val="24"/>
        </w:rPr>
        <w:t xml:space="preserve"> (2020) argumenta que los medios sociales tienen un impacto disruptivo y transformador en el marketing internacional. Los medios sociales facilitan la creación de </w:t>
      </w:r>
      <w:r>
        <w:rPr>
          <w:rFonts w:ascii="Times New Roman" w:eastAsia="Times New Roman" w:hAnsi="Times New Roman" w:cs="Times New Roman"/>
          <w:color w:val="0D0D0D"/>
          <w:sz w:val="24"/>
          <w:szCs w:val="24"/>
        </w:rPr>
        <w:lastRenderedPageBreak/>
        <w:t>valor a través de cinco dimensiones: acceso, asequibilidad, aceptación, conciencia y activación, lo que permite a las empresas llegar a un público global de manera más efectiva y eficiente.</w:t>
      </w:r>
    </w:p>
    <w:p w14:paraId="56A2F36D" w14:textId="77777777" w:rsidR="00D51211" w:rsidRDefault="00D51211" w:rsidP="00D51211">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15pt" w:after="15pt" w:line="18pt" w:lineRule="auto"/>
        <w:ind w:firstLine="28.30pt"/>
        <w:jc w:val="both"/>
        <w:rPr>
          <w:rFonts w:ascii="Times New Roman" w:eastAsia="Times New Roman" w:hAnsi="Times New Roman" w:cs="Times New Roman"/>
          <w:b/>
          <w:sz w:val="24"/>
          <w:szCs w:val="24"/>
        </w:rPr>
      </w:pPr>
      <w:r>
        <w:rPr>
          <w:rFonts w:ascii="Times New Roman" w:eastAsia="Times New Roman" w:hAnsi="Times New Roman" w:cs="Times New Roman"/>
          <w:color w:val="0D0D0D"/>
          <w:sz w:val="24"/>
          <w:szCs w:val="24"/>
        </w:rPr>
        <w:t>Moran et al. (2020) encuentran que las señales de interactividad (como llamados a la acción) y la riqueza de los medios (incluyendo videos y fotos) aumentan significativamente el compromiso del consumidor con la marca en plataformas como Facebook. Esto subraya la importancia de crear contenido atractivo y participativo para maximizar la efectividad de las estrategias de marketing digital en redes sociales.</w:t>
      </w:r>
    </w:p>
    <w:bookmarkEnd w:id="8"/>
    <w:p w14:paraId="6F7BDEB0" w14:textId="77777777" w:rsidR="00D51211" w:rsidRDefault="00D51211" w:rsidP="00D51211">
      <w:pPr>
        <w:spacing w:after="6pt" w:line="18pt" w:lineRule="auto"/>
        <w:ind w:firstLine="35.45pt"/>
        <w:jc w:val="both"/>
        <w:rPr>
          <w:rFonts w:ascii="Palatino Linotype" w:hAnsi="Palatino Linotype"/>
          <w:b/>
          <w:bCs/>
          <w:color w:val="00B050"/>
        </w:rPr>
      </w:pPr>
    </w:p>
    <w:p w14:paraId="1CAC7FC6" w14:textId="20E85937" w:rsidR="006C3513" w:rsidRPr="007C57C4" w:rsidRDefault="00B50015" w:rsidP="00931FCC">
      <w:pPr>
        <w:spacing w:after="6pt" w:line="18pt" w:lineRule="auto"/>
        <w:ind w:firstLine="35.45pt"/>
        <w:jc w:val="center"/>
        <w:rPr>
          <w:rFonts w:ascii="Palatino Linotype" w:hAnsi="Palatino Linotype"/>
          <w:b/>
          <w:bCs/>
          <w:color w:val="00B050"/>
        </w:rPr>
      </w:pPr>
      <w:r w:rsidRPr="007C57C4">
        <w:rPr>
          <w:rFonts w:ascii="Palatino Linotype" w:hAnsi="Palatino Linotype"/>
          <w:b/>
          <w:bCs/>
          <w:color w:val="00B050"/>
        </w:rPr>
        <w:t>CONCLUSI</w:t>
      </w:r>
      <w:r w:rsidR="00F77068" w:rsidRPr="007C57C4">
        <w:rPr>
          <w:rFonts w:ascii="Palatino Linotype" w:hAnsi="Palatino Linotype"/>
          <w:b/>
          <w:bCs/>
          <w:color w:val="00B050"/>
        </w:rPr>
        <w:t>ONES</w:t>
      </w:r>
    </w:p>
    <w:p w14:paraId="7570B9B5" w14:textId="1DF1260E" w:rsidR="00302A31" w:rsidRPr="00465E4D" w:rsidRDefault="00302A31" w:rsidP="00CC0AD9">
      <w:pPr>
        <w:spacing w:after="6pt" w:line="18pt" w:lineRule="auto"/>
        <w:ind w:firstLine="35.45pt"/>
        <w:jc w:val="both"/>
        <w:rPr>
          <w:rFonts w:ascii="Goudy Old Style" w:hAnsi="Goudy Old Style"/>
        </w:rPr>
      </w:pPr>
    </w:p>
    <w:p w14:paraId="6A0E9A9E" w14:textId="77777777" w:rsidR="00D51211" w:rsidRPr="001B68E2" w:rsidRDefault="00D51211" w:rsidP="00D51211">
      <w:pPr>
        <w:spacing w:after="0pt" w:line="18pt" w:lineRule="auto"/>
        <w:ind w:firstLine="36pt"/>
        <w:jc w:val="both"/>
        <w:rPr>
          <w:rFonts w:ascii="Times New Roman" w:hAnsi="Times New Roman" w:cs="Times New Roman"/>
        </w:rPr>
      </w:pPr>
      <w:r w:rsidRPr="001B68E2">
        <w:rPr>
          <w:rFonts w:ascii="Times New Roman" w:hAnsi="Times New Roman" w:cs="Times New Roman"/>
        </w:rPr>
        <w:t>A continuación, enunciaré en estas líneas lo que se alcanzó con esta propuesta, todo ello con la esperanza de alcanzar ese estado de aprendizaje en las nuevas generaciones y proporcionar el amor hacia la lectura y encontrar más lectores y amantes de las historias.</w:t>
      </w:r>
    </w:p>
    <w:p w14:paraId="4D4E9A21" w14:textId="77777777" w:rsidR="00D51211" w:rsidRPr="001B68E2" w:rsidRDefault="00D51211" w:rsidP="00D51211">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Primero, en “El ingenioso hidalgo don Quijote de la Mancha” los alumnos poseen conocimiento de la dualidad expresada en las diapositivas, no solo en la película Shrek, pues advierten este concepto en otra película moderna: la de Sherlock Holmes. Cabe señalar que el régimen de tiempo de una clase va de dos horas cronológicas a 90 minutos. En esa línea, la motivación, que debe durar como máximo entre 10 a 15 minutos se desvanece, pues el conflicto cognitivo expuesto los lleva a generar múltiples preguntas. Si tuviese que expresar si se cumplió con el objetivo puedo afirmar que se logró, pero el tiempo del desarrollo de clase es el tirano más grande que un docente puede tener frente a una multitud de alumnos conmovidos por la curiosidad y la búsqueda de comparación. Por ello se sugiere que inmediatamente después de la motivación se lea el fragmento del texto de la obra. Cabe destacar que en este caso el fragmento que cumple con la dualidad es el episodio de los molinos de viento. Por otro lado, la escuela y los padres de familia solicitan que los cuadernos que sus hijos usan en el colegio presenten apuntes de clase. Sobre este punto no se han realizado grandes cambios en varias décadas. Solo a partir de la pandemia los cuadernos dejan de usarse y el retorno a la presencialidad en el aula mostró problemas en la toma de apuntes de parte del alumnado. En esa línea, este trabajo no aborda el tema que acabo de exponer, pero la programación de la clase requiere de elementos que exige el MINEDU y la escuela, entre los que destacan el contexto histórico, las características de la </w:t>
      </w:r>
      <w:r w:rsidRPr="001B68E2">
        <w:rPr>
          <w:rFonts w:ascii="Times New Roman" w:hAnsi="Times New Roman" w:cs="Times New Roman"/>
        </w:rPr>
        <w:lastRenderedPageBreak/>
        <w:t xml:space="preserve">producción literaria del autor, de la obra y la estructura de la obra. Por los motivos mencionados, se requiere que el tiempo sumado a los contenidos y a la competencia se dosifiquen de acuerdo con las necesidades de aprendizaje y a las de las habilidades de conocer y escribir. </w:t>
      </w:r>
    </w:p>
    <w:p w14:paraId="5B7BD20E" w14:textId="77777777" w:rsidR="00D51211" w:rsidRPr="001B68E2" w:rsidRDefault="00D51211" w:rsidP="00D51211">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Segundo, El rey león y “Hamlet” conmueven al alumnado. La historia de la película se ha dado en dos tiempos: tanto en la década de los noventa como en el 2019. Por lo tanto, esta generación tiene conocimiento de ella. Lo impactante de “Hamlet” fue hallar que el asesinato del rey por parte del hermano fuese comparado con las discusiones familiares por herencias, más que por reinos y lo expresan sin temor alguno. En esta clase fue necesario revisar dos momentos específicos de la obra: la muerte del rey y la locura del príncipe. Se les mostró el vídeo de la película animada donde el león </w:t>
      </w:r>
      <w:proofErr w:type="spellStart"/>
      <w:r w:rsidRPr="001B68E2">
        <w:rPr>
          <w:rFonts w:ascii="Times New Roman" w:hAnsi="Times New Roman" w:cs="Times New Roman"/>
        </w:rPr>
        <w:t>Scar</w:t>
      </w:r>
      <w:proofErr w:type="spellEnd"/>
      <w:r w:rsidRPr="001B68E2">
        <w:rPr>
          <w:rFonts w:ascii="Times New Roman" w:hAnsi="Times New Roman" w:cs="Times New Roman"/>
        </w:rPr>
        <w:t xml:space="preserve"> lanza a su hermano Mufasa al acantilado, luego de clavarle las garras y posteriormente el momento en que Simba halla a sus dos amigos Timón y Pumba y van por la vida cantando </w:t>
      </w:r>
      <w:proofErr w:type="spellStart"/>
      <w:r w:rsidRPr="001B68E2">
        <w:rPr>
          <w:rFonts w:ascii="Times New Roman" w:hAnsi="Times New Roman" w:cs="Times New Roman"/>
        </w:rPr>
        <w:t>Hakuna</w:t>
      </w:r>
      <w:proofErr w:type="spellEnd"/>
      <w:r w:rsidRPr="001B68E2">
        <w:rPr>
          <w:rFonts w:ascii="Times New Roman" w:hAnsi="Times New Roman" w:cs="Times New Roman"/>
        </w:rPr>
        <w:t xml:space="preserve"> </w:t>
      </w:r>
      <w:proofErr w:type="spellStart"/>
      <w:r w:rsidRPr="001B68E2">
        <w:rPr>
          <w:rFonts w:ascii="Times New Roman" w:hAnsi="Times New Roman" w:cs="Times New Roman"/>
        </w:rPr>
        <w:t>Matata</w:t>
      </w:r>
      <w:proofErr w:type="spellEnd"/>
      <w:r w:rsidRPr="001B68E2">
        <w:rPr>
          <w:rFonts w:ascii="Times New Roman" w:hAnsi="Times New Roman" w:cs="Times New Roman"/>
        </w:rPr>
        <w:t xml:space="preserve"> donde el león va creciendo sin preocupaciones y alimentándose de insumos que no son de un depredador carnívoro. Luego de esta visión se pasó a la ronda de preguntas y establecieron las comparaciones. Lo relevante es que alcanzaron a relacionar la famosa imagen del Hamlet hablándole al cráneo con la vida; es decir, la locura, con la vida disipada que lleva Simba con sus amigos. Es más, relacionaron a Timón y Pumba con los amigos de Hamlet, quienes le ayudan a montar el teatro que acusa a su tío del asesinato. Al igual que el tema anterior, se sugiere seleccionar y secuenciar el texto de Hamlet de acuerdo con la búsqueda de la competencia que queremos lograr. </w:t>
      </w:r>
    </w:p>
    <w:p w14:paraId="38365CC5" w14:textId="77777777" w:rsidR="00D51211" w:rsidRPr="001B68E2" w:rsidRDefault="00D51211" w:rsidP="00D51211">
      <w:pPr>
        <w:spacing w:after="0pt" w:line="18pt" w:lineRule="auto"/>
        <w:ind w:firstLine="36pt"/>
        <w:jc w:val="both"/>
        <w:rPr>
          <w:rFonts w:ascii="Times New Roman" w:hAnsi="Times New Roman" w:cs="Times New Roman"/>
        </w:rPr>
      </w:pPr>
      <w:r w:rsidRPr="001B68E2">
        <w:rPr>
          <w:rFonts w:ascii="Times New Roman" w:hAnsi="Times New Roman" w:cs="Times New Roman"/>
        </w:rPr>
        <w:t>Tercero, en el mito de Teseo y el hilo de Ariadna se inició la clase directamente con la imagen de la película Los juegos del hambre. En este punto advertí que la actriz que protagoniza a la heroína es considera un ícono de belleza y esto los lleva a ver la cinta. Aquí se buscó la comprensión del inicio del mito. Los mitos griegos se encuentran enlazados unos a otros y coinciden dispersos por todos los textos de la antigüedad. Ordenar en las cabezas de los alumnos el panorama histórico fue prioridad, pues si solo se centran en cómo se asesina al minotauro no comprenderán los motivos y las razones del sacrificio de los jóvenes. Por ello se tomó la película para comprender la inmolación. En este punto solo sirvió como motivación, pues la cinta no posee más elementos comparables con el mito. Por ello se sugiere que se deje en claro esta similitud porque la motivación que produce la película los lleva a comparaciones irrelevantes que no ayudan con la historia.</w:t>
      </w:r>
    </w:p>
    <w:p w14:paraId="1891CACF" w14:textId="77777777" w:rsidR="00D51211" w:rsidRPr="001B68E2" w:rsidRDefault="00D51211" w:rsidP="00D51211">
      <w:pPr>
        <w:spacing w:after="0pt" w:line="18pt" w:lineRule="auto"/>
        <w:ind w:firstLine="36pt"/>
        <w:jc w:val="both"/>
        <w:rPr>
          <w:rFonts w:ascii="Times New Roman" w:hAnsi="Times New Roman" w:cs="Times New Roman"/>
        </w:rPr>
      </w:pPr>
      <w:r w:rsidRPr="001B68E2">
        <w:rPr>
          <w:rFonts w:ascii="Times New Roman" w:hAnsi="Times New Roman" w:cs="Times New Roman"/>
        </w:rPr>
        <w:lastRenderedPageBreak/>
        <w:t xml:space="preserve">Cuarto, cuando se trata de Borges la metafísica está presente. La lectura escogida aquí fue “La casa de Asterión”, la misma que posee un laberinto. Esta clase siempre me sorprende, pues los alumnos desconocen el nombre de Asterión, solo conocen al minotauro. Por ello inicio este proceso contando acerca de un terremoto y cómo cada persona lo ha vivido en un determinado espacio, pero todos los pobladores en un solo momento pudieron vivirlo y cada uno de ellos expresa desde su perspectiva y su vivencia. Ese fue mi primer elemento motivador, pues deben entender la existencia de un evento vivido por millones de personas. A partir de allí les presento las imágenes del laberinto y el símbolo del infinito con el propósito de que entiendan la relación de este último con la posibilidad de mundos. Sumo a estas imágenes las puertas de Monster Inc. y expresan que cada puerta conlleva a mundos posibles. Termino con Rick &amp; </w:t>
      </w:r>
      <w:proofErr w:type="spellStart"/>
      <w:r w:rsidRPr="001B68E2">
        <w:rPr>
          <w:rFonts w:ascii="Times New Roman" w:hAnsi="Times New Roman" w:cs="Times New Roman"/>
        </w:rPr>
        <w:t>Morty</w:t>
      </w:r>
      <w:proofErr w:type="spellEnd"/>
      <w:r w:rsidRPr="001B68E2">
        <w:rPr>
          <w:rFonts w:ascii="Times New Roman" w:hAnsi="Times New Roman" w:cs="Times New Roman"/>
        </w:rPr>
        <w:t>. Aquí ellos mencionan todos los mundos por los que pasan los protagonistas. Posteriormente los hago leer “La casa de Asterión”. En ese momento descubren quién es Asterión y la perspectiva del cuento desde la voz del minotauro. En esta clase se recomienda que el texto se encuentre en la diapositiva y esta se elabore con gran cantidad de imágenes, pues explicar los elementos metafísicos de Borges, más que complejos, resultan difíciles de darles tangibilidad.</w:t>
      </w:r>
    </w:p>
    <w:p w14:paraId="1C1E691D" w14:textId="669CD305" w:rsidR="00C139A9" w:rsidRPr="00D51211" w:rsidRDefault="00D51211" w:rsidP="00D51211">
      <w:pPr>
        <w:spacing w:after="0pt" w:line="18pt" w:lineRule="auto"/>
        <w:ind w:firstLine="36pt"/>
        <w:jc w:val="both"/>
        <w:rPr>
          <w:rFonts w:ascii="Times New Roman" w:hAnsi="Times New Roman" w:cs="Times New Roman"/>
        </w:rPr>
      </w:pPr>
      <w:r w:rsidRPr="001B68E2">
        <w:rPr>
          <w:rFonts w:ascii="Times New Roman" w:hAnsi="Times New Roman" w:cs="Times New Roman"/>
        </w:rPr>
        <w:t xml:space="preserve">Finalmente, la clase de “La vida es sueño” y las películas El origen y Pesadilla en </w:t>
      </w:r>
      <w:proofErr w:type="spellStart"/>
      <w:r w:rsidRPr="001B68E2">
        <w:rPr>
          <w:rFonts w:ascii="Times New Roman" w:hAnsi="Times New Roman" w:cs="Times New Roman"/>
        </w:rPr>
        <w:t>Elm</w:t>
      </w:r>
      <w:proofErr w:type="spellEnd"/>
      <w:r w:rsidRPr="001B68E2">
        <w:rPr>
          <w:rFonts w:ascii="Times New Roman" w:hAnsi="Times New Roman" w:cs="Times New Roman"/>
        </w:rPr>
        <w:t xml:space="preserve"> Street inició con los tráileres de ambas películas y el posterior cuestionamiento del sueño y la realidad. El terror de la segunda película los motivó en gran manera, pero también los llevó a comentar episodios violentos de la película. Por el contrario, El origen no es una película que haya sido vista, ni por los alumnos de tercer, ni de quinto año. Cabe resaltar que la usé porque el protagonista es Leonardo di </w:t>
      </w:r>
      <w:proofErr w:type="spellStart"/>
      <w:r w:rsidRPr="001B68E2">
        <w:rPr>
          <w:rFonts w:ascii="Times New Roman" w:hAnsi="Times New Roman" w:cs="Times New Roman"/>
        </w:rPr>
        <w:t>Caprio</w:t>
      </w:r>
      <w:proofErr w:type="spellEnd"/>
      <w:r w:rsidRPr="001B68E2">
        <w:rPr>
          <w:rFonts w:ascii="Times New Roman" w:hAnsi="Times New Roman" w:cs="Times New Roman"/>
        </w:rPr>
        <w:t xml:space="preserve"> y este actor siempre engancha a los adolescentes, como en el caso particular de Romeo y Julieta. En esa línea, Pesadilla resultó ser más útil que la primera, pues los pocos alumnos que vieron El origen no la entendieron en su momento. Por ello se recomienda que la realización de esta clase mantenga el tráiler del Origen, pero más como un derrotero y sí y solo sí luego de haber sido visto el de Pesadilla. Además, se requiere que esta observación solo acompañe al texto del famoso monólogo de Segismundo, el mismo donde se cuestiona si la vida es un sueño, ello con el propósito de no perder la motivación. Lo que viene después resultó complejo, pues el texto barroco dificulta la comprensión de este. Se sugiere trabajo entre pares para la lectura y comprensión de determinados fragmentos. </w:t>
      </w:r>
    </w:p>
    <w:p w14:paraId="5809FF23" w14:textId="77777777" w:rsidR="00C139A9" w:rsidRDefault="00C139A9" w:rsidP="00CC0AD9">
      <w:pPr>
        <w:spacing w:after="6pt"/>
        <w:jc w:val="both"/>
        <w:rPr>
          <w:rFonts w:ascii="Book Antiqua" w:hAnsi="Book Antiqua" w:cs="Times New Roman"/>
        </w:rPr>
      </w:pPr>
    </w:p>
    <w:p w14:paraId="0080936C" w14:textId="77777777" w:rsidR="00E023C8" w:rsidRPr="00BA267D" w:rsidRDefault="00E023C8" w:rsidP="00CC0AD9">
      <w:pPr>
        <w:spacing w:after="6pt"/>
        <w:jc w:val="both"/>
        <w:rPr>
          <w:rFonts w:ascii="Book Antiqua" w:hAnsi="Book Antiqua" w:cs="Times New Roman"/>
        </w:rPr>
      </w:pPr>
    </w:p>
    <w:p w14:paraId="72EF51F9" w14:textId="33DA4324" w:rsidR="008966A8" w:rsidRPr="00AB792C" w:rsidRDefault="008966A8" w:rsidP="00CC0AD9">
      <w:pPr>
        <w:spacing w:after="6pt" w:line="18pt" w:lineRule="auto"/>
        <w:ind w:firstLine="35.45pt"/>
        <w:jc w:val="center"/>
        <w:rPr>
          <w:rFonts w:ascii="Palatino Linotype" w:hAnsi="Palatino Linotype"/>
          <w:b/>
          <w:bCs/>
          <w:color w:val="00B050"/>
          <w:lang w:val="en-US"/>
        </w:rPr>
      </w:pPr>
      <w:r w:rsidRPr="00AB792C">
        <w:rPr>
          <w:rFonts w:ascii="Palatino Linotype" w:hAnsi="Palatino Linotype"/>
          <w:b/>
          <w:bCs/>
          <w:color w:val="00B050"/>
          <w:lang w:val="en-US"/>
        </w:rPr>
        <w:t>REFER</w:t>
      </w:r>
      <w:r w:rsidR="00682EB1" w:rsidRPr="00AB792C">
        <w:rPr>
          <w:rFonts w:ascii="Palatino Linotype" w:hAnsi="Palatino Linotype"/>
          <w:b/>
          <w:bCs/>
          <w:color w:val="00B050"/>
          <w:lang w:val="en-US"/>
        </w:rPr>
        <w:t>E</w:t>
      </w:r>
      <w:r w:rsidRPr="00AB792C">
        <w:rPr>
          <w:rFonts w:ascii="Palatino Linotype" w:hAnsi="Palatino Linotype"/>
          <w:b/>
          <w:bCs/>
          <w:color w:val="00B050"/>
          <w:lang w:val="en-US"/>
        </w:rPr>
        <w:t>NCIAS BIBLIOGRÁFICAS</w:t>
      </w:r>
    </w:p>
    <w:p w14:paraId="3C709428"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bookmarkStart w:id="9" w:name="_Hlk184634934"/>
      <w:r w:rsidRPr="00AF2E30">
        <w:rPr>
          <w:rFonts w:ascii="Times New Roman" w:eastAsia="Times New Roman" w:hAnsi="Times New Roman" w:cs="Times New Roman"/>
          <w:sz w:val="24"/>
          <w:szCs w:val="24"/>
          <w:lang w:val="en-US"/>
        </w:rPr>
        <w:t xml:space="preserve">Adwan, A. A., &amp; </w:t>
      </w:r>
      <w:proofErr w:type="spellStart"/>
      <w:r w:rsidRPr="00AF2E30">
        <w:rPr>
          <w:rFonts w:ascii="Times New Roman" w:eastAsia="Times New Roman" w:hAnsi="Times New Roman" w:cs="Times New Roman"/>
          <w:sz w:val="24"/>
          <w:szCs w:val="24"/>
          <w:lang w:val="en-US"/>
        </w:rPr>
        <w:t>Altrjman</w:t>
      </w:r>
      <w:proofErr w:type="spellEnd"/>
      <w:r w:rsidRPr="00AF2E30">
        <w:rPr>
          <w:rFonts w:ascii="Times New Roman" w:eastAsia="Times New Roman" w:hAnsi="Times New Roman" w:cs="Times New Roman"/>
          <w:sz w:val="24"/>
          <w:szCs w:val="24"/>
          <w:lang w:val="en-US"/>
        </w:rPr>
        <w:t xml:space="preserve">, G. (2024). The role of social media marketing and </w:t>
      </w:r>
      <w:r w:rsidRPr="00AF2E30">
        <w:rPr>
          <w:rFonts w:ascii="Times New Roman" w:eastAsia="Times New Roman" w:hAnsi="Times New Roman" w:cs="Times New Roman"/>
          <w:sz w:val="24"/>
          <w:szCs w:val="24"/>
          <w:lang w:val="en-US"/>
        </w:rPr>
        <w:lastRenderedPageBreak/>
        <w:t xml:space="preserve">marketing management promoting and developing brand sustainability strategy. </w:t>
      </w:r>
      <w:r w:rsidRPr="00AF2E30">
        <w:rPr>
          <w:rFonts w:ascii="Times New Roman" w:eastAsia="Times New Roman" w:hAnsi="Times New Roman" w:cs="Times New Roman"/>
          <w:i/>
          <w:sz w:val="24"/>
          <w:szCs w:val="24"/>
          <w:lang w:val="en-US"/>
        </w:rPr>
        <w:t>International journal of data and network science</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8</w:t>
      </w:r>
      <w:r w:rsidRPr="00AF2E30">
        <w:rPr>
          <w:rFonts w:ascii="Times New Roman" w:eastAsia="Times New Roman" w:hAnsi="Times New Roman" w:cs="Times New Roman"/>
          <w:sz w:val="24"/>
          <w:szCs w:val="24"/>
          <w:lang w:val="en-US"/>
        </w:rPr>
        <w:t xml:space="preserve">(1), 439–452. </w:t>
      </w:r>
      <w:hyperlink r:id="rId28">
        <w:r w:rsidRPr="00AF2E30">
          <w:rPr>
            <w:rFonts w:ascii="Times New Roman" w:eastAsia="Times New Roman" w:hAnsi="Times New Roman" w:cs="Times New Roman"/>
            <w:color w:val="1155CC"/>
            <w:sz w:val="24"/>
            <w:szCs w:val="24"/>
            <w:u w:val="single"/>
            <w:lang w:val="en-US"/>
          </w:rPr>
          <w:t>https://doi.org/10.5267/j.ijdns.2023.9.011</w:t>
        </w:r>
      </w:hyperlink>
    </w:p>
    <w:p w14:paraId="45F0A2BD"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Andrew Petersen, J., Paulich, B. J., </w:t>
      </w:r>
      <w:proofErr w:type="spellStart"/>
      <w:r w:rsidRPr="00AF2E30">
        <w:rPr>
          <w:rFonts w:ascii="Times New Roman" w:eastAsia="Times New Roman" w:hAnsi="Times New Roman" w:cs="Times New Roman"/>
          <w:sz w:val="24"/>
          <w:szCs w:val="24"/>
          <w:lang w:val="en-US"/>
        </w:rPr>
        <w:t>Khodakarami</w:t>
      </w:r>
      <w:proofErr w:type="spellEnd"/>
      <w:r w:rsidRPr="00AF2E30">
        <w:rPr>
          <w:rFonts w:ascii="Times New Roman" w:eastAsia="Times New Roman" w:hAnsi="Times New Roman" w:cs="Times New Roman"/>
          <w:sz w:val="24"/>
          <w:szCs w:val="24"/>
          <w:lang w:val="en-US"/>
        </w:rPr>
        <w:t xml:space="preserve">, F., Spyropoulou, S., &amp; Kumar, V. (2022). Customer-based execution strategy in a global digital economy. </w:t>
      </w:r>
      <w:r w:rsidRPr="00AF2E30">
        <w:rPr>
          <w:rFonts w:ascii="Times New Roman" w:eastAsia="Times New Roman" w:hAnsi="Times New Roman" w:cs="Times New Roman"/>
          <w:i/>
          <w:sz w:val="24"/>
          <w:szCs w:val="24"/>
          <w:lang w:val="en-US"/>
        </w:rPr>
        <w:t>International Journal of Research in Marketing</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39</w:t>
      </w:r>
      <w:r w:rsidRPr="00AF2E30">
        <w:rPr>
          <w:rFonts w:ascii="Times New Roman" w:eastAsia="Times New Roman" w:hAnsi="Times New Roman" w:cs="Times New Roman"/>
          <w:sz w:val="24"/>
          <w:szCs w:val="24"/>
          <w:lang w:val="en-US"/>
        </w:rPr>
        <w:t xml:space="preserve">(2), 566–582. </w:t>
      </w:r>
      <w:hyperlink r:id="rId29">
        <w:r w:rsidRPr="00AF2E30">
          <w:rPr>
            <w:rFonts w:ascii="Times New Roman" w:eastAsia="Times New Roman" w:hAnsi="Times New Roman" w:cs="Times New Roman"/>
            <w:color w:val="1155CC"/>
            <w:sz w:val="24"/>
            <w:szCs w:val="24"/>
            <w:u w:val="single"/>
            <w:lang w:val="en-US"/>
          </w:rPr>
          <w:t>https://doi.org/10.1016/j.ijresmar.2021.09.010</w:t>
        </w:r>
      </w:hyperlink>
      <w:r w:rsidRPr="00AF2E30">
        <w:rPr>
          <w:rFonts w:ascii="Times New Roman" w:eastAsia="Times New Roman" w:hAnsi="Times New Roman" w:cs="Times New Roman"/>
          <w:sz w:val="24"/>
          <w:szCs w:val="24"/>
          <w:lang w:val="en-US"/>
        </w:rPr>
        <w:t xml:space="preserve">  </w:t>
      </w:r>
    </w:p>
    <w:p w14:paraId="3BA00F31"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Appel, G., Grewal, L., Hadi, R., &amp; Stephen, A. T. (2020). The future of social media in marketing. </w:t>
      </w:r>
      <w:r w:rsidRPr="00AF2E30">
        <w:rPr>
          <w:rFonts w:ascii="Times New Roman" w:eastAsia="Times New Roman" w:hAnsi="Times New Roman" w:cs="Times New Roman"/>
          <w:i/>
          <w:sz w:val="24"/>
          <w:szCs w:val="24"/>
          <w:lang w:val="en-US"/>
        </w:rPr>
        <w:t>Journal of the Academy of Marketing Science</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48</w:t>
      </w:r>
      <w:r w:rsidRPr="00AF2E30">
        <w:rPr>
          <w:rFonts w:ascii="Times New Roman" w:eastAsia="Times New Roman" w:hAnsi="Times New Roman" w:cs="Times New Roman"/>
          <w:sz w:val="24"/>
          <w:szCs w:val="24"/>
          <w:lang w:val="en-US"/>
        </w:rPr>
        <w:t xml:space="preserve">(1), 79–95. </w:t>
      </w:r>
      <w:hyperlink r:id="rId30">
        <w:r w:rsidRPr="00AF2E30">
          <w:rPr>
            <w:rFonts w:ascii="Times New Roman" w:eastAsia="Times New Roman" w:hAnsi="Times New Roman" w:cs="Times New Roman"/>
            <w:color w:val="1155CC"/>
            <w:sz w:val="24"/>
            <w:szCs w:val="24"/>
            <w:u w:val="single"/>
            <w:lang w:val="en-US"/>
          </w:rPr>
          <w:t>https://doi.org/10.1007/s11747-019-00695-1</w:t>
        </w:r>
      </w:hyperlink>
      <w:r w:rsidRPr="00AF2E30">
        <w:rPr>
          <w:rFonts w:ascii="Times New Roman" w:eastAsia="Times New Roman" w:hAnsi="Times New Roman" w:cs="Times New Roman"/>
          <w:sz w:val="24"/>
          <w:szCs w:val="24"/>
          <w:lang w:val="en-US"/>
        </w:rPr>
        <w:t xml:space="preserve"> </w:t>
      </w:r>
    </w:p>
    <w:p w14:paraId="06739F2D"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pt-BR"/>
        </w:rPr>
        <w:t xml:space="preserve">Araujo, T., </w:t>
      </w:r>
      <w:proofErr w:type="spellStart"/>
      <w:r w:rsidRPr="00AF2E30">
        <w:rPr>
          <w:rFonts w:ascii="Times New Roman" w:eastAsia="Times New Roman" w:hAnsi="Times New Roman" w:cs="Times New Roman"/>
          <w:sz w:val="24"/>
          <w:szCs w:val="24"/>
          <w:lang w:val="pt-BR"/>
        </w:rPr>
        <w:t>Copulsky</w:t>
      </w:r>
      <w:proofErr w:type="spellEnd"/>
      <w:r w:rsidRPr="00AF2E30">
        <w:rPr>
          <w:rFonts w:ascii="Times New Roman" w:eastAsia="Times New Roman" w:hAnsi="Times New Roman" w:cs="Times New Roman"/>
          <w:sz w:val="24"/>
          <w:szCs w:val="24"/>
          <w:lang w:val="pt-BR"/>
        </w:rPr>
        <w:t xml:space="preserve">, J. R., Hayes, J. L., Kim, S. J., &amp; </w:t>
      </w:r>
      <w:proofErr w:type="spellStart"/>
      <w:r w:rsidRPr="00AF2E30">
        <w:rPr>
          <w:rFonts w:ascii="Times New Roman" w:eastAsia="Times New Roman" w:hAnsi="Times New Roman" w:cs="Times New Roman"/>
          <w:sz w:val="24"/>
          <w:szCs w:val="24"/>
          <w:lang w:val="pt-BR"/>
        </w:rPr>
        <w:t>Srivastava</w:t>
      </w:r>
      <w:proofErr w:type="spellEnd"/>
      <w:r w:rsidRPr="00AF2E30">
        <w:rPr>
          <w:rFonts w:ascii="Times New Roman" w:eastAsia="Times New Roman" w:hAnsi="Times New Roman" w:cs="Times New Roman"/>
          <w:sz w:val="24"/>
          <w:szCs w:val="24"/>
          <w:lang w:val="pt-BR"/>
        </w:rPr>
        <w:t xml:space="preserve">, J. (2020). </w:t>
      </w:r>
      <w:r w:rsidRPr="00AF2E30">
        <w:rPr>
          <w:rFonts w:ascii="Times New Roman" w:eastAsia="Times New Roman" w:hAnsi="Times New Roman" w:cs="Times New Roman"/>
          <w:sz w:val="24"/>
          <w:szCs w:val="24"/>
          <w:lang w:val="en-US"/>
        </w:rPr>
        <w:t xml:space="preserve">From purchasing exposure to fostering engagement: Brand–consumer experiences in the emerging computational advertising landscape. </w:t>
      </w:r>
      <w:r w:rsidRPr="00AF2E30">
        <w:rPr>
          <w:rFonts w:ascii="Times New Roman" w:eastAsia="Times New Roman" w:hAnsi="Times New Roman" w:cs="Times New Roman"/>
          <w:i/>
          <w:sz w:val="24"/>
          <w:szCs w:val="24"/>
          <w:lang w:val="en-US"/>
        </w:rPr>
        <w:t>Journal of Advertising</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49</w:t>
      </w:r>
      <w:r w:rsidRPr="00AF2E30">
        <w:rPr>
          <w:rFonts w:ascii="Times New Roman" w:eastAsia="Times New Roman" w:hAnsi="Times New Roman" w:cs="Times New Roman"/>
          <w:sz w:val="24"/>
          <w:szCs w:val="24"/>
          <w:lang w:val="en-US"/>
        </w:rPr>
        <w:t xml:space="preserve">(4), 428–445. </w:t>
      </w:r>
      <w:hyperlink r:id="rId31">
        <w:r w:rsidRPr="00AF2E30">
          <w:rPr>
            <w:rFonts w:ascii="Times New Roman" w:eastAsia="Times New Roman" w:hAnsi="Times New Roman" w:cs="Times New Roman"/>
            <w:color w:val="1155CC"/>
            <w:sz w:val="24"/>
            <w:szCs w:val="24"/>
            <w:u w:val="single"/>
            <w:lang w:val="en-US"/>
          </w:rPr>
          <w:t>https://doi.org/10.1080/00913367.2020.1795756</w:t>
        </w:r>
      </w:hyperlink>
      <w:r w:rsidRPr="00AF2E30">
        <w:rPr>
          <w:rFonts w:ascii="Times New Roman" w:eastAsia="Times New Roman" w:hAnsi="Times New Roman" w:cs="Times New Roman"/>
          <w:sz w:val="24"/>
          <w:szCs w:val="24"/>
          <w:lang w:val="en-US"/>
        </w:rPr>
        <w:t xml:space="preserve"> </w:t>
      </w:r>
    </w:p>
    <w:p w14:paraId="1CAE22B1"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Berger, J., Moe, W. W., &amp; </w:t>
      </w:r>
      <w:proofErr w:type="spellStart"/>
      <w:r w:rsidRPr="00AF2E30">
        <w:rPr>
          <w:rFonts w:ascii="Times New Roman" w:eastAsia="Times New Roman" w:hAnsi="Times New Roman" w:cs="Times New Roman"/>
          <w:sz w:val="24"/>
          <w:szCs w:val="24"/>
          <w:lang w:val="en-US"/>
        </w:rPr>
        <w:t>Schweidel</w:t>
      </w:r>
      <w:proofErr w:type="spellEnd"/>
      <w:r w:rsidRPr="00AF2E30">
        <w:rPr>
          <w:rFonts w:ascii="Times New Roman" w:eastAsia="Times New Roman" w:hAnsi="Times New Roman" w:cs="Times New Roman"/>
          <w:sz w:val="24"/>
          <w:szCs w:val="24"/>
          <w:lang w:val="en-US"/>
        </w:rPr>
        <w:t xml:space="preserve">, D. A. (2023). What holds attention? Linguistic drivers of engagement. </w:t>
      </w:r>
      <w:r w:rsidRPr="00AF2E30">
        <w:rPr>
          <w:rFonts w:ascii="Times New Roman" w:eastAsia="Times New Roman" w:hAnsi="Times New Roman" w:cs="Times New Roman"/>
          <w:i/>
          <w:sz w:val="24"/>
          <w:szCs w:val="24"/>
          <w:lang w:val="en-US"/>
        </w:rPr>
        <w:t>Journal of Marketing</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87</w:t>
      </w:r>
      <w:r w:rsidRPr="00AF2E30">
        <w:rPr>
          <w:rFonts w:ascii="Times New Roman" w:eastAsia="Times New Roman" w:hAnsi="Times New Roman" w:cs="Times New Roman"/>
          <w:sz w:val="24"/>
          <w:szCs w:val="24"/>
          <w:lang w:val="en-US"/>
        </w:rPr>
        <w:t xml:space="preserve">(5), 793–809. </w:t>
      </w:r>
      <w:hyperlink r:id="rId32">
        <w:r w:rsidRPr="00AF2E30">
          <w:rPr>
            <w:rFonts w:ascii="Times New Roman" w:eastAsia="Times New Roman" w:hAnsi="Times New Roman" w:cs="Times New Roman"/>
            <w:color w:val="1155CC"/>
            <w:sz w:val="24"/>
            <w:szCs w:val="24"/>
            <w:u w:val="single"/>
            <w:lang w:val="en-US"/>
          </w:rPr>
          <w:t>https://doi.org/10.1177/00222429231152880</w:t>
        </w:r>
      </w:hyperlink>
      <w:r w:rsidRPr="00AF2E30">
        <w:rPr>
          <w:rFonts w:ascii="Times New Roman" w:eastAsia="Times New Roman" w:hAnsi="Times New Roman" w:cs="Times New Roman"/>
          <w:sz w:val="24"/>
          <w:szCs w:val="24"/>
          <w:lang w:val="en-US"/>
        </w:rPr>
        <w:t xml:space="preserve"> </w:t>
      </w:r>
    </w:p>
    <w:p w14:paraId="4178B400" w14:textId="73E300A6"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Brooks, G., </w:t>
      </w:r>
      <w:proofErr w:type="spellStart"/>
      <w:r w:rsidRPr="00AF2E30">
        <w:rPr>
          <w:rFonts w:ascii="Times New Roman" w:eastAsia="Times New Roman" w:hAnsi="Times New Roman" w:cs="Times New Roman"/>
          <w:sz w:val="24"/>
          <w:szCs w:val="24"/>
          <w:lang w:val="en-US"/>
        </w:rPr>
        <w:t>Drenten</w:t>
      </w:r>
      <w:proofErr w:type="spellEnd"/>
      <w:r w:rsidRPr="00AF2E30">
        <w:rPr>
          <w:rFonts w:ascii="Times New Roman" w:eastAsia="Times New Roman" w:hAnsi="Times New Roman" w:cs="Times New Roman"/>
          <w:sz w:val="24"/>
          <w:szCs w:val="24"/>
          <w:lang w:val="en-US"/>
        </w:rPr>
        <w:t xml:space="preserve">, J., &amp; Piskorski, M. J. (2021). Influencer </w:t>
      </w:r>
      <w:proofErr w:type="spellStart"/>
      <w:r w:rsidRPr="00AF2E30">
        <w:rPr>
          <w:rFonts w:ascii="Times New Roman" w:eastAsia="Times New Roman" w:hAnsi="Times New Roman" w:cs="Times New Roman"/>
          <w:sz w:val="24"/>
          <w:szCs w:val="24"/>
          <w:lang w:val="en-US"/>
        </w:rPr>
        <w:t>celebrification</w:t>
      </w:r>
      <w:proofErr w:type="spellEnd"/>
      <w:r w:rsidRPr="00AF2E30">
        <w:rPr>
          <w:rFonts w:ascii="Times New Roman" w:eastAsia="Times New Roman" w:hAnsi="Times New Roman" w:cs="Times New Roman"/>
          <w:sz w:val="24"/>
          <w:szCs w:val="24"/>
          <w:lang w:val="en-US"/>
        </w:rPr>
        <w:t xml:space="preserve">: How social media influencers acquire celebrity capital. </w:t>
      </w:r>
      <w:r w:rsidRPr="00AF2E30">
        <w:rPr>
          <w:rFonts w:ascii="Times New Roman" w:eastAsia="Times New Roman" w:hAnsi="Times New Roman" w:cs="Times New Roman"/>
          <w:i/>
          <w:sz w:val="24"/>
          <w:szCs w:val="24"/>
          <w:lang w:val="en-US"/>
        </w:rPr>
        <w:t>Journal of Advertising</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50</w:t>
      </w:r>
      <w:r w:rsidRPr="00AF2E30">
        <w:rPr>
          <w:rFonts w:ascii="Times New Roman" w:eastAsia="Times New Roman" w:hAnsi="Times New Roman" w:cs="Times New Roman"/>
          <w:sz w:val="24"/>
          <w:szCs w:val="24"/>
          <w:lang w:val="en-US"/>
        </w:rPr>
        <w:t xml:space="preserve">(5), 528–547. </w:t>
      </w:r>
      <w:hyperlink r:id="rId33">
        <w:r w:rsidRPr="00AF2E30">
          <w:rPr>
            <w:rFonts w:ascii="Times New Roman" w:eastAsia="Times New Roman" w:hAnsi="Times New Roman" w:cs="Times New Roman"/>
            <w:color w:val="1155CC"/>
            <w:sz w:val="24"/>
            <w:szCs w:val="24"/>
            <w:u w:val="single"/>
            <w:lang w:val="en-US"/>
          </w:rPr>
          <w:t>https://doi.org/10.1080/00913367.2021.1977737</w:t>
        </w:r>
      </w:hyperlink>
      <w:r w:rsidRPr="00AF2E30">
        <w:rPr>
          <w:rFonts w:ascii="Times New Roman" w:eastAsia="Times New Roman" w:hAnsi="Times New Roman" w:cs="Times New Roman"/>
          <w:sz w:val="24"/>
          <w:szCs w:val="24"/>
          <w:lang w:val="en-US"/>
        </w:rPr>
        <w:t xml:space="preserve"> </w:t>
      </w:r>
    </w:p>
    <w:p w14:paraId="4E9E4AA7"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Bryant, M. M., &amp; Basu, R. (2023). People, profiles, and purchases: Investigating the impact of environmental cues in social commerce. </w:t>
      </w:r>
      <w:r w:rsidRPr="00AF2E30">
        <w:rPr>
          <w:rFonts w:ascii="Times New Roman" w:eastAsia="Times New Roman" w:hAnsi="Times New Roman" w:cs="Times New Roman"/>
          <w:i/>
          <w:sz w:val="24"/>
          <w:szCs w:val="24"/>
          <w:lang w:val="en-US"/>
        </w:rPr>
        <w:t>Cogent Business &amp; Management</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10</w:t>
      </w:r>
      <w:r w:rsidRPr="00AF2E30">
        <w:rPr>
          <w:rFonts w:ascii="Times New Roman" w:eastAsia="Times New Roman" w:hAnsi="Times New Roman" w:cs="Times New Roman"/>
          <w:sz w:val="24"/>
          <w:szCs w:val="24"/>
          <w:lang w:val="en-US"/>
        </w:rPr>
        <w:t xml:space="preserve">(3). </w:t>
      </w:r>
      <w:hyperlink r:id="rId34">
        <w:r w:rsidRPr="00AF2E30">
          <w:rPr>
            <w:rFonts w:ascii="Times New Roman" w:eastAsia="Times New Roman" w:hAnsi="Times New Roman" w:cs="Times New Roman"/>
            <w:color w:val="1155CC"/>
            <w:sz w:val="24"/>
            <w:szCs w:val="24"/>
            <w:u w:val="single"/>
            <w:lang w:val="en-US"/>
          </w:rPr>
          <w:t>https://doi.org/10.1080/23311975.2023.2285037</w:t>
        </w:r>
      </w:hyperlink>
      <w:r w:rsidRPr="00AF2E30">
        <w:rPr>
          <w:rFonts w:ascii="Times New Roman" w:eastAsia="Times New Roman" w:hAnsi="Times New Roman" w:cs="Times New Roman"/>
          <w:sz w:val="24"/>
          <w:szCs w:val="24"/>
          <w:lang w:val="en-US"/>
        </w:rPr>
        <w:t xml:space="preserve"> </w:t>
      </w:r>
    </w:p>
    <w:p w14:paraId="29A2BCAA"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Chaker, N. N., Nowlin, E. L., Pivonka, M. T., Itani, O. S., &amp; Agnihotri, R. (2022). </w:t>
      </w:r>
      <w:r w:rsidRPr="00AF2E30">
        <w:rPr>
          <w:rFonts w:ascii="Times New Roman" w:eastAsia="Times New Roman" w:hAnsi="Times New Roman" w:cs="Times New Roman"/>
          <w:sz w:val="24"/>
          <w:szCs w:val="24"/>
          <w:lang w:val="en-US"/>
        </w:rPr>
        <w:lastRenderedPageBreak/>
        <w:t xml:space="preserve">Inside sales social media use and its strategic implications for salesperson-customer digital engagement and performance. </w:t>
      </w:r>
      <w:r w:rsidRPr="00AF2E30">
        <w:rPr>
          <w:rFonts w:ascii="Times New Roman" w:eastAsia="Times New Roman" w:hAnsi="Times New Roman" w:cs="Times New Roman"/>
          <w:i/>
          <w:sz w:val="24"/>
          <w:szCs w:val="24"/>
          <w:lang w:val="en-US"/>
        </w:rPr>
        <w:t>Industrial Marketing Management</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100</w:t>
      </w:r>
      <w:r w:rsidRPr="00AF2E30">
        <w:rPr>
          <w:rFonts w:ascii="Times New Roman" w:eastAsia="Times New Roman" w:hAnsi="Times New Roman" w:cs="Times New Roman"/>
          <w:sz w:val="24"/>
          <w:szCs w:val="24"/>
          <w:lang w:val="en-US"/>
        </w:rPr>
        <w:t xml:space="preserve">, 127–144. </w:t>
      </w:r>
      <w:hyperlink r:id="rId35">
        <w:r w:rsidRPr="00AF2E30">
          <w:rPr>
            <w:rFonts w:ascii="Times New Roman" w:eastAsia="Times New Roman" w:hAnsi="Times New Roman" w:cs="Times New Roman"/>
            <w:color w:val="1155CC"/>
            <w:sz w:val="24"/>
            <w:szCs w:val="24"/>
            <w:u w:val="single"/>
            <w:lang w:val="en-US"/>
          </w:rPr>
          <w:t>https://doi.org/10.1016/j.indmarman.2021.10.006</w:t>
        </w:r>
      </w:hyperlink>
      <w:r w:rsidRPr="00AF2E30">
        <w:rPr>
          <w:rFonts w:ascii="Times New Roman" w:eastAsia="Times New Roman" w:hAnsi="Times New Roman" w:cs="Times New Roman"/>
          <w:sz w:val="24"/>
          <w:szCs w:val="24"/>
          <w:lang w:val="en-US"/>
        </w:rPr>
        <w:t xml:space="preserve"> </w:t>
      </w:r>
    </w:p>
    <w:p w14:paraId="632C90FC"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Deng, F., Lin, Y., &amp; Jiang, X. (2023). Influence mechanism of consumers’ characteristics on impulsive purchase in E-commerce livestream marketing. </w:t>
      </w:r>
      <w:r w:rsidRPr="00AF2E30">
        <w:rPr>
          <w:rFonts w:ascii="Times New Roman" w:eastAsia="Times New Roman" w:hAnsi="Times New Roman" w:cs="Times New Roman"/>
          <w:i/>
          <w:sz w:val="24"/>
          <w:szCs w:val="24"/>
          <w:lang w:val="en-US"/>
        </w:rPr>
        <w:t>Computers in Human Behavior</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148</w:t>
      </w:r>
      <w:r w:rsidRPr="00AF2E30">
        <w:rPr>
          <w:rFonts w:ascii="Times New Roman" w:eastAsia="Times New Roman" w:hAnsi="Times New Roman" w:cs="Times New Roman"/>
          <w:sz w:val="24"/>
          <w:szCs w:val="24"/>
          <w:lang w:val="en-US"/>
        </w:rPr>
        <w:t xml:space="preserve">(107894), 107894. </w:t>
      </w:r>
      <w:hyperlink r:id="rId36">
        <w:r w:rsidRPr="00AF2E30">
          <w:rPr>
            <w:rFonts w:ascii="Times New Roman" w:eastAsia="Times New Roman" w:hAnsi="Times New Roman" w:cs="Times New Roman"/>
            <w:color w:val="1155CC"/>
            <w:sz w:val="24"/>
            <w:szCs w:val="24"/>
            <w:u w:val="single"/>
            <w:lang w:val="en-US"/>
          </w:rPr>
          <w:t>https://doi.org/10.1016/j.chb.2023.107894</w:t>
        </w:r>
      </w:hyperlink>
      <w:r w:rsidRPr="00AF2E30">
        <w:rPr>
          <w:rFonts w:ascii="Times New Roman" w:eastAsia="Times New Roman" w:hAnsi="Times New Roman" w:cs="Times New Roman"/>
          <w:sz w:val="24"/>
          <w:szCs w:val="24"/>
          <w:lang w:val="en-US"/>
        </w:rPr>
        <w:t xml:space="preserve"> </w:t>
      </w:r>
    </w:p>
    <w:p w14:paraId="3FC2FB79"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Dwivedi, Y. K., </w:t>
      </w:r>
      <w:proofErr w:type="spellStart"/>
      <w:r w:rsidRPr="00AF2E30">
        <w:rPr>
          <w:rFonts w:ascii="Times New Roman" w:eastAsia="Times New Roman" w:hAnsi="Times New Roman" w:cs="Times New Roman"/>
          <w:sz w:val="24"/>
          <w:szCs w:val="24"/>
          <w:lang w:val="en-US"/>
        </w:rPr>
        <w:t>Ismagilova</w:t>
      </w:r>
      <w:proofErr w:type="spellEnd"/>
      <w:r w:rsidRPr="00AF2E30">
        <w:rPr>
          <w:rFonts w:ascii="Times New Roman" w:eastAsia="Times New Roman" w:hAnsi="Times New Roman" w:cs="Times New Roman"/>
          <w:sz w:val="24"/>
          <w:szCs w:val="24"/>
          <w:lang w:val="en-US"/>
        </w:rPr>
        <w:t xml:space="preserve">, E., Hughes, D. L., Carlson, J., </w:t>
      </w:r>
      <w:proofErr w:type="spellStart"/>
      <w:r w:rsidRPr="00AF2E30">
        <w:rPr>
          <w:rFonts w:ascii="Times New Roman" w:eastAsia="Times New Roman" w:hAnsi="Times New Roman" w:cs="Times New Roman"/>
          <w:sz w:val="24"/>
          <w:szCs w:val="24"/>
          <w:lang w:val="en-US"/>
        </w:rPr>
        <w:t>Filieri</w:t>
      </w:r>
      <w:proofErr w:type="spellEnd"/>
      <w:r w:rsidRPr="00AF2E30">
        <w:rPr>
          <w:rFonts w:ascii="Times New Roman" w:eastAsia="Times New Roman" w:hAnsi="Times New Roman" w:cs="Times New Roman"/>
          <w:sz w:val="24"/>
          <w:szCs w:val="24"/>
          <w:lang w:val="en-US"/>
        </w:rPr>
        <w:t xml:space="preserve">, R., Jacobson, J., Jain, V., </w:t>
      </w:r>
      <w:proofErr w:type="spellStart"/>
      <w:r w:rsidRPr="00AF2E30">
        <w:rPr>
          <w:rFonts w:ascii="Times New Roman" w:eastAsia="Times New Roman" w:hAnsi="Times New Roman" w:cs="Times New Roman"/>
          <w:sz w:val="24"/>
          <w:szCs w:val="24"/>
          <w:lang w:val="en-US"/>
        </w:rPr>
        <w:t>Karjaluoto</w:t>
      </w:r>
      <w:proofErr w:type="spellEnd"/>
      <w:r w:rsidRPr="00AF2E30">
        <w:rPr>
          <w:rFonts w:ascii="Times New Roman" w:eastAsia="Times New Roman" w:hAnsi="Times New Roman" w:cs="Times New Roman"/>
          <w:sz w:val="24"/>
          <w:szCs w:val="24"/>
          <w:lang w:val="en-US"/>
        </w:rPr>
        <w:t xml:space="preserve">, H., </w:t>
      </w:r>
      <w:proofErr w:type="spellStart"/>
      <w:r w:rsidRPr="00AF2E30">
        <w:rPr>
          <w:rFonts w:ascii="Times New Roman" w:eastAsia="Times New Roman" w:hAnsi="Times New Roman" w:cs="Times New Roman"/>
          <w:sz w:val="24"/>
          <w:szCs w:val="24"/>
          <w:lang w:val="en-US"/>
        </w:rPr>
        <w:t>Kefi</w:t>
      </w:r>
      <w:proofErr w:type="spellEnd"/>
      <w:r w:rsidRPr="00AF2E30">
        <w:rPr>
          <w:rFonts w:ascii="Times New Roman" w:eastAsia="Times New Roman" w:hAnsi="Times New Roman" w:cs="Times New Roman"/>
          <w:sz w:val="24"/>
          <w:szCs w:val="24"/>
          <w:lang w:val="en-US"/>
        </w:rPr>
        <w:t xml:space="preserve">, H., Krishen, A. S., Kumar, V., Rahman, M. M., Raman, R., </w:t>
      </w:r>
      <w:proofErr w:type="spellStart"/>
      <w:r w:rsidRPr="00AF2E30">
        <w:rPr>
          <w:rFonts w:ascii="Times New Roman" w:eastAsia="Times New Roman" w:hAnsi="Times New Roman" w:cs="Times New Roman"/>
          <w:sz w:val="24"/>
          <w:szCs w:val="24"/>
          <w:lang w:val="en-US"/>
        </w:rPr>
        <w:t>Rauschnabel</w:t>
      </w:r>
      <w:proofErr w:type="spellEnd"/>
      <w:r w:rsidRPr="00AF2E30">
        <w:rPr>
          <w:rFonts w:ascii="Times New Roman" w:eastAsia="Times New Roman" w:hAnsi="Times New Roman" w:cs="Times New Roman"/>
          <w:sz w:val="24"/>
          <w:szCs w:val="24"/>
          <w:lang w:val="en-US"/>
        </w:rPr>
        <w:t xml:space="preserve">, P. A., Rowley, J., Salo, J., Tran, G. A., &amp; Wang, Y. (2021). Setting the future of digital and social media marketing research: Perspectives and research propositions. </w:t>
      </w:r>
      <w:r w:rsidRPr="00AF2E30">
        <w:rPr>
          <w:rFonts w:ascii="Times New Roman" w:eastAsia="Times New Roman" w:hAnsi="Times New Roman" w:cs="Times New Roman"/>
          <w:i/>
          <w:sz w:val="24"/>
          <w:szCs w:val="24"/>
          <w:lang w:val="en-US"/>
        </w:rPr>
        <w:t>International Journal of Information Management</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59</w:t>
      </w:r>
      <w:r w:rsidRPr="00AF2E30">
        <w:rPr>
          <w:rFonts w:ascii="Times New Roman" w:eastAsia="Times New Roman" w:hAnsi="Times New Roman" w:cs="Times New Roman"/>
          <w:sz w:val="24"/>
          <w:szCs w:val="24"/>
          <w:lang w:val="en-US"/>
        </w:rPr>
        <w:t xml:space="preserve">(102168), 102168. </w:t>
      </w:r>
      <w:hyperlink r:id="rId37">
        <w:r w:rsidRPr="00AF2E30">
          <w:rPr>
            <w:rFonts w:ascii="Times New Roman" w:eastAsia="Times New Roman" w:hAnsi="Times New Roman" w:cs="Times New Roman"/>
            <w:color w:val="1155CC"/>
            <w:sz w:val="24"/>
            <w:szCs w:val="24"/>
            <w:u w:val="single"/>
            <w:lang w:val="en-US"/>
          </w:rPr>
          <w:t>https://doi.org/10.1016/j.ijinfomgt.2020.102168</w:t>
        </w:r>
      </w:hyperlink>
      <w:r w:rsidRPr="00AF2E30">
        <w:rPr>
          <w:rFonts w:ascii="Times New Roman" w:eastAsia="Times New Roman" w:hAnsi="Times New Roman" w:cs="Times New Roman"/>
          <w:sz w:val="24"/>
          <w:szCs w:val="24"/>
          <w:lang w:val="en-US"/>
        </w:rPr>
        <w:t xml:space="preserve"> </w:t>
      </w:r>
    </w:p>
    <w:p w14:paraId="36362853"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Ferraro, C., Sands, S., </w:t>
      </w:r>
      <w:proofErr w:type="spellStart"/>
      <w:r w:rsidRPr="00AF2E30">
        <w:rPr>
          <w:rFonts w:ascii="Times New Roman" w:eastAsia="Times New Roman" w:hAnsi="Times New Roman" w:cs="Times New Roman"/>
          <w:sz w:val="24"/>
          <w:szCs w:val="24"/>
          <w:lang w:val="en-US"/>
        </w:rPr>
        <w:t>Zubcevic</w:t>
      </w:r>
      <w:proofErr w:type="spellEnd"/>
      <w:r w:rsidRPr="00AF2E30">
        <w:rPr>
          <w:rFonts w:ascii="Times New Roman" w:eastAsia="Times New Roman" w:hAnsi="Times New Roman" w:cs="Times New Roman"/>
          <w:sz w:val="24"/>
          <w:szCs w:val="24"/>
          <w:lang w:val="en-US"/>
        </w:rPr>
        <w:t xml:space="preserve">-Basic, N., &amp; Campbell, C. (2024). Diversity in the digital age: how consumers respond to diverse virtual influencers. </w:t>
      </w:r>
      <w:r w:rsidRPr="00AF2E30">
        <w:rPr>
          <w:rFonts w:ascii="Times New Roman" w:eastAsia="Times New Roman" w:hAnsi="Times New Roman" w:cs="Times New Roman"/>
          <w:i/>
          <w:sz w:val="24"/>
          <w:szCs w:val="24"/>
          <w:lang w:val="en-US"/>
        </w:rPr>
        <w:t>International Journal of Advertising</w:t>
      </w:r>
      <w:r w:rsidRPr="00AF2E30">
        <w:rPr>
          <w:rFonts w:ascii="Times New Roman" w:eastAsia="Times New Roman" w:hAnsi="Times New Roman" w:cs="Times New Roman"/>
          <w:sz w:val="24"/>
          <w:szCs w:val="24"/>
          <w:lang w:val="en-US"/>
        </w:rPr>
        <w:t xml:space="preserve">, 1–23. </w:t>
      </w:r>
      <w:hyperlink r:id="rId38">
        <w:r w:rsidRPr="00AF2E30">
          <w:rPr>
            <w:rFonts w:ascii="Times New Roman" w:eastAsia="Times New Roman" w:hAnsi="Times New Roman" w:cs="Times New Roman"/>
            <w:color w:val="1155CC"/>
            <w:sz w:val="24"/>
            <w:szCs w:val="24"/>
            <w:u w:val="single"/>
            <w:lang w:val="en-US"/>
          </w:rPr>
          <w:t>https://doi.org/10.1080/02650487.2023.2300927</w:t>
        </w:r>
      </w:hyperlink>
      <w:r w:rsidRPr="00AF2E30">
        <w:rPr>
          <w:rFonts w:ascii="Times New Roman" w:eastAsia="Times New Roman" w:hAnsi="Times New Roman" w:cs="Times New Roman"/>
          <w:sz w:val="24"/>
          <w:szCs w:val="24"/>
          <w:lang w:val="en-US"/>
        </w:rPr>
        <w:t xml:space="preserve"> </w:t>
      </w:r>
    </w:p>
    <w:p w14:paraId="17151CA8" w14:textId="30A2E2C9"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proofErr w:type="spellStart"/>
      <w:r w:rsidRPr="00AF2E30">
        <w:rPr>
          <w:rFonts w:ascii="Times New Roman" w:eastAsia="Times New Roman" w:hAnsi="Times New Roman" w:cs="Times New Roman"/>
          <w:sz w:val="24"/>
          <w:szCs w:val="24"/>
          <w:lang w:val="en-US"/>
        </w:rPr>
        <w:t>Fraccastoro</w:t>
      </w:r>
      <w:proofErr w:type="spellEnd"/>
      <w:r w:rsidRPr="00AF2E30">
        <w:rPr>
          <w:rFonts w:ascii="Times New Roman" w:eastAsia="Times New Roman" w:hAnsi="Times New Roman" w:cs="Times New Roman"/>
          <w:sz w:val="24"/>
          <w:szCs w:val="24"/>
          <w:lang w:val="en-US"/>
        </w:rPr>
        <w:t xml:space="preserve">, S., Gabrielsson, M., &amp; Pullins, E. B. (2021). The integrated use of social media, digital, and traditional communication tools in the B2B sales process of international SMEs. </w:t>
      </w:r>
      <w:r w:rsidRPr="00AF2E30">
        <w:rPr>
          <w:rFonts w:ascii="Times New Roman" w:eastAsia="Times New Roman" w:hAnsi="Times New Roman" w:cs="Times New Roman"/>
          <w:i/>
          <w:sz w:val="24"/>
          <w:szCs w:val="24"/>
          <w:lang w:val="en-US"/>
        </w:rPr>
        <w:t>International Business Review (Oxford, England)</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30</w:t>
      </w:r>
      <w:r w:rsidRPr="00AF2E30">
        <w:rPr>
          <w:rFonts w:ascii="Times New Roman" w:eastAsia="Times New Roman" w:hAnsi="Times New Roman" w:cs="Times New Roman"/>
          <w:sz w:val="24"/>
          <w:szCs w:val="24"/>
          <w:lang w:val="en-US"/>
        </w:rPr>
        <w:t xml:space="preserve">(4), 101776. </w:t>
      </w:r>
      <w:hyperlink r:id="rId39">
        <w:r w:rsidRPr="00AF2E30">
          <w:rPr>
            <w:rFonts w:ascii="Times New Roman" w:eastAsia="Times New Roman" w:hAnsi="Times New Roman" w:cs="Times New Roman"/>
            <w:color w:val="1155CC"/>
            <w:sz w:val="24"/>
            <w:szCs w:val="24"/>
            <w:u w:val="single"/>
            <w:lang w:val="en-US"/>
          </w:rPr>
          <w:t>https://doi.org/10.1016/j.ibusrev.2020.101776</w:t>
        </w:r>
      </w:hyperlink>
      <w:r w:rsidRPr="00AF2E30">
        <w:rPr>
          <w:rFonts w:ascii="Times New Roman" w:eastAsia="Times New Roman" w:hAnsi="Times New Roman" w:cs="Times New Roman"/>
          <w:sz w:val="24"/>
          <w:szCs w:val="24"/>
          <w:lang w:val="en-US"/>
        </w:rPr>
        <w:t xml:space="preserve"> </w:t>
      </w:r>
    </w:p>
    <w:p w14:paraId="1FF91AE5"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Gartner, J., Fink, M., </w:t>
      </w:r>
      <w:proofErr w:type="spellStart"/>
      <w:r w:rsidRPr="00AF2E30">
        <w:rPr>
          <w:rFonts w:ascii="Times New Roman" w:eastAsia="Times New Roman" w:hAnsi="Times New Roman" w:cs="Times New Roman"/>
          <w:sz w:val="24"/>
          <w:szCs w:val="24"/>
          <w:lang w:val="en-US"/>
        </w:rPr>
        <w:t>Floh</w:t>
      </w:r>
      <w:proofErr w:type="spellEnd"/>
      <w:r w:rsidRPr="00AF2E30">
        <w:rPr>
          <w:rFonts w:ascii="Times New Roman" w:eastAsia="Times New Roman" w:hAnsi="Times New Roman" w:cs="Times New Roman"/>
          <w:sz w:val="24"/>
          <w:szCs w:val="24"/>
          <w:lang w:val="en-US"/>
        </w:rPr>
        <w:t xml:space="preserve">, A., &amp; Eggers, F. (2021). Service quality in social media communication of NPOs: The moderating effect of channel choice. </w:t>
      </w:r>
      <w:r w:rsidRPr="00AF2E30">
        <w:rPr>
          <w:rFonts w:ascii="Times New Roman" w:eastAsia="Times New Roman" w:hAnsi="Times New Roman" w:cs="Times New Roman"/>
          <w:i/>
          <w:sz w:val="24"/>
          <w:szCs w:val="24"/>
          <w:lang w:val="en-US"/>
        </w:rPr>
        <w:t>Journal of Business Research</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137</w:t>
      </w:r>
      <w:r w:rsidRPr="00AF2E30">
        <w:rPr>
          <w:rFonts w:ascii="Times New Roman" w:eastAsia="Times New Roman" w:hAnsi="Times New Roman" w:cs="Times New Roman"/>
          <w:sz w:val="24"/>
          <w:szCs w:val="24"/>
          <w:lang w:val="en-US"/>
        </w:rPr>
        <w:t xml:space="preserve">, 579–587. </w:t>
      </w:r>
      <w:hyperlink r:id="rId40">
        <w:r w:rsidRPr="00AF2E30">
          <w:rPr>
            <w:rFonts w:ascii="Times New Roman" w:eastAsia="Times New Roman" w:hAnsi="Times New Roman" w:cs="Times New Roman"/>
            <w:color w:val="1155CC"/>
            <w:sz w:val="24"/>
            <w:szCs w:val="24"/>
            <w:u w:val="single"/>
            <w:lang w:val="en-US"/>
          </w:rPr>
          <w:t>https://doi.org/10.1016/j.jbusres.2021.08.026</w:t>
        </w:r>
      </w:hyperlink>
      <w:r w:rsidRPr="00AF2E30">
        <w:rPr>
          <w:rFonts w:ascii="Times New Roman" w:eastAsia="Times New Roman" w:hAnsi="Times New Roman" w:cs="Times New Roman"/>
          <w:sz w:val="24"/>
          <w:szCs w:val="24"/>
          <w:lang w:val="en-US"/>
        </w:rPr>
        <w:t xml:space="preserve"> </w:t>
      </w:r>
    </w:p>
    <w:p w14:paraId="32899012"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Grewal, D., </w:t>
      </w:r>
      <w:proofErr w:type="spellStart"/>
      <w:r w:rsidRPr="00AF2E30">
        <w:rPr>
          <w:rFonts w:ascii="Times New Roman" w:eastAsia="Times New Roman" w:hAnsi="Times New Roman" w:cs="Times New Roman"/>
          <w:sz w:val="24"/>
          <w:szCs w:val="24"/>
          <w:lang w:val="en-US"/>
        </w:rPr>
        <w:t>Herhausen</w:t>
      </w:r>
      <w:proofErr w:type="spellEnd"/>
      <w:r w:rsidRPr="00AF2E30">
        <w:rPr>
          <w:rFonts w:ascii="Times New Roman" w:eastAsia="Times New Roman" w:hAnsi="Times New Roman" w:cs="Times New Roman"/>
          <w:sz w:val="24"/>
          <w:szCs w:val="24"/>
          <w:lang w:val="en-US"/>
        </w:rPr>
        <w:t xml:space="preserve">, D., Ludwig, S., &amp; Villarroel Ordenes, F. (2022). The </w:t>
      </w:r>
      <w:r w:rsidRPr="00AF2E30">
        <w:rPr>
          <w:rFonts w:ascii="Times New Roman" w:eastAsia="Times New Roman" w:hAnsi="Times New Roman" w:cs="Times New Roman"/>
          <w:sz w:val="24"/>
          <w:szCs w:val="24"/>
          <w:lang w:val="en-US"/>
        </w:rPr>
        <w:lastRenderedPageBreak/>
        <w:t xml:space="preserve">future of digital communication research: Considering dynamics and multimodality. </w:t>
      </w:r>
      <w:r w:rsidRPr="00AF2E30">
        <w:rPr>
          <w:rFonts w:ascii="Times New Roman" w:eastAsia="Times New Roman" w:hAnsi="Times New Roman" w:cs="Times New Roman"/>
          <w:i/>
          <w:sz w:val="24"/>
          <w:szCs w:val="24"/>
          <w:lang w:val="en-US"/>
        </w:rPr>
        <w:t>Journal of Retailing</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98</w:t>
      </w:r>
      <w:r w:rsidRPr="00AF2E30">
        <w:rPr>
          <w:rFonts w:ascii="Times New Roman" w:eastAsia="Times New Roman" w:hAnsi="Times New Roman" w:cs="Times New Roman"/>
          <w:sz w:val="24"/>
          <w:szCs w:val="24"/>
          <w:lang w:val="en-US"/>
        </w:rPr>
        <w:t xml:space="preserve">(2), 224–240. </w:t>
      </w:r>
      <w:hyperlink r:id="rId41">
        <w:r w:rsidRPr="00AF2E30">
          <w:rPr>
            <w:rFonts w:ascii="Times New Roman" w:eastAsia="Times New Roman" w:hAnsi="Times New Roman" w:cs="Times New Roman"/>
            <w:color w:val="1155CC"/>
            <w:sz w:val="24"/>
            <w:szCs w:val="24"/>
            <w:u w:val="single"/>
            <w:lang w:val="en-US"/>
          </w:rPr>
          <w:t>https://doi.org/10.1016/j.jretai.2021.01.007</w:t>
        </w:r>
      </w:hyperlink>
      <w:r w:rsidRPr="00AF2E30">
        <w:rPr>
          <w:rFonts w:ascii="Times New Roman" w:eastAsia="Times New Roman" w:hAnsi="Times New Roman" w:cs="Times New Roman"/>
          <w:sz w:val="24"/>
          <w:szCs w:val="24"/>
          <w:lang w:val="en-US"/>
        </w:rPr>
        <w:t xml:space="preserve"> </w:t>
      </w:r>
    </w:p>
    <w:p w14:paraId="6268C3F3" w14:textId="77777777" w:rsidR="00D51211" w:rsidRDefault="00D51211" w:rsidP="00D51211">
      <w:pPr>
        <w:widowControl w:val="0"/>
        <w:spacing w:before="12pt" w:line="18pt" w:lineRule="auto"/>
        <w:ind w:start="72pt" w:hanging="36pt"/>
        <w:jc w:val="both"/>
        <w:rPr>
          <w:rFonts w:ascii="Times New Roman" w:eastAsia="Times New Roman" w:hAnsi="Times New Roman" w:cs="Times New Roman"/>
          <w:sz w:val="24"/>
          <w:szCs w:val="24"/>
        </w:rPr>
      </w:pPr>
      <w:proofErr w:type="spellStart"/>
      <w:r w:rsidRPr="00AF2E30">
        <w:rPr>
          <w:rFonts w:ascii="Times New Roman" w:eastAsia="Times New Roman" w:hAnsi="Times New Roman" w:cs="Times New Roman"/>
          <w:sz w:val="24"/>
          <w:szCs w:val="24"/>
          <w:lang w:val="en-US"/>
        </w:rPr>
        <w:t>Guelmes</w:t>
      </w:r>
      <w:proofErr w:type="spellEnd"/>
      <w:r w:rsidRPr="00AF2E30">
        <w:rPr>
          <w:rFonts w:ascii="Times New Roman" w:eastAsia="Times New Roman" w:hAnsi="Times New Roman" w:cs="Times New Roman"/>
          <w:sz w:val="24"/>
          <w:szCs w:val="24"/>
          <w:lang w:val="en-US"/>
        </w:rPr>
        <w:t xml:space="preserve"> Valdés, E. L., &amp; Nieto Almeida, L. E. (2015). </w:t>
      </w:r>
      <w:r>
        <w:rPr>
          <w:rFonts w:ascii="Times New Roman" w:eastAsia="Times New Roman" w:hAnsi="Times New Roman" w:cs="Times New Roman"/>
          <w:sz w:val="24"/>
          <w:szCs w:val="24"/>
        </w:rPr>
        <w:t xml:space="preserve">Algunas reflexiones sobre el enfoque mixto de la investigación pedagógica en el contexto cubano. </w:t>
      </w:r>
      <w:r>
        <w:rPr>
          <w:rFonts w:ascii="Times New Roman" w:eastAsia="Times New Roman" w:hAnsi="Times New Roman" w:cs="Times New Roman"/>
          <w:i/>
          <w:sz w:val="24"/>
          <w:szCs w:val="24"/>
        </w:rPr>
        <w:t>Revista Universidad y Sociedad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 xml:space="preserve">(1), 23–29. </w:t>
      </w:r>
      <w:hyperlink r:id="rId42">
        <w:r>
          <w:rPr>
            <w:rFonts w:ascii="Times New Roman" w:eastAsia="Times New Roman" w:hAnsi="Times New Roman" w:cs="Times New Roman"/>
            <w:color w:val="1155CC"/>
            <w:sz w:val="24"/>
            <w:szCs w:val="24"/>
            <w:u w:val="single"/>
          </w:rPr>
          <w:t>http://scielo.sld.cu/scielo.php?script=sci_arttext&amp;pid=S2218-36202015000100004&amp;lng=es&amp;tlng=es</w:t>
        </w:r>
      </w:hyperlink>
      <w:r>
        <w:rPr>
          <w:rFonts w:ascii="Times New Roman" w:eastAsia="Times New Roman" w:hAnsi="Times New Roman" w:cs="Times New Roman"/>
          <w:sz w:val="24"/>
          <w:szCs w:val="24"/>
        </w:rPr>
        <w:t xml:space="preserve">. </w:t>
      </w:r>
    </w:p>
    <w:p w14:paraId="68323111"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Hartmann, J., Heitmann, M., Schamp, C., &amp; Netzer, O. (2021). The power of brand selfies. </w:t>
      </w:r>
      <w:r w:rsidRPr="00AF2E30">
        <w:rPr>
          <w:rFonts w:ascii="Times New Roman" w:eastAsia="Times New Roman" w:hAnsi="Times New Roman" w:cs="Times New Roman"/>
          <w:i/>
          <w:sz w:val="24"/>
          <w:szCs w:val="24"/>
          <w:lang w:val="en-US"/>
        </w:rPr>
        <w:t>JMR, Journal of Marketing Research</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58</w:t>
      </w:r>
      <w:r w:rsidRPr="00AF2E30">
        <w:rPr>
          <w:rFonts w:ascii="Times New Roman" w:eastAsia="Times New Roman" w:hAnsi="Times New Roman" w:cs="Times New Roman"/>
          <w:sz w:val="24"/>
          <w:szCs w:val="24"/>
          <w:lang w:val="en-US"/>
        </w:rPr>
        <w:t xml:space="preserve">(6), 1159–1177. </w:t>
      </w:r>
      <w:hyperlink r:id="rId43">
        <w:r w:rsidRPr="00AF2E30">
          <w:rPr>
            <w:rFonts w:ascii="Times New Roman" w:eastAsia="Times New Roman" w:hAnsi="Times New Roman" w:cs="Times New Roman"/>
            <w:color w:val="1155CC"/>
            <w:sz w:val="24"/>
            <w:szCs w:val="24"/>
            <w:u w:val="single"/>
            <w:lang w:val="en-US"/>
          </w:rPr>
          <w:t>https://doi.org/10.1177/00222437211037258</w:t>
        </w:r>
      </w:hyperlink>
      <w:r w:rsidRPr="00AF2E30">
        <w:rPr>
          <w:rFonts w:ascii="Times New Roman" w:eastAsia="Times New Roman" w:hAnsi="Times New Roman" w:cs="Times New Roman"/>
          <w:sz w:val="24"/>
          <w:szCs w:val="24"/>
          <w:lang w:val="en-US"/>
        </w:rPr>
        <w:t xml:space="preserve"> </w:t>
      </w:r>
    </w:p>
    <w:p w14:paraId="689159AD"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proofErr w:type="spellStart"/>
      <w:r w:rsidRPr="00AF2E30">
        <w:rPr>
          <w:rFonts w:ascii="Times New Roman" w:eastAsia="Times New Roman" w:hAnsi="Times New Roman" w:cs="Times New Roman"/>
          <w:sz w:val="24"/>
          <w:szCs w:val="24"/>
          <w:lang w:val="en-US"/>
        </w:rPr>
        <w:t>Herhausen</w:t>
      </w:r>
      <w:proofErr w:type="spellEnd"/>
      <w:r w:rsidRPr="00AF2E30">
        <w:rPr>
          <w:rFonts w:ascii="Times New Roman" w:eastAsia="Times New Roman" w:hAnsi="Times New Roman" w:cs="Times New Roman"/>
          <w:sz w:val="24"/>
          <w:szCs w:val="24"/>
          <w:lang w:val="en-US"/>
        </w:rPr>
        <w:t xml:space="preserve">, D., Emrich, O., Grewal, D., </w:t>
      </w:r>
      <w:proofErr w:type="spellStart"/>
      <w:r w:rsidRPr="00AF2E30">
        <w:rPr>
          <w:rFonts w:ascii="Times New Roman" w:eastAsia="Times New Roman" w:hAnsi="Times New Roman" w:cs="Times New Roman"/>
          <w:sz w:val="24"/>
          <w:szCs w:val="24"/>
          <w:lang w:val="en-US"/>
        </w:rPr>
        <w:t>Kipfelsberger</w:t>
      </w:r>
      <w:proofErr w:type="spellEnd"/>
      <w:r w:rsidRPr="00AF2E30">
        <w:rPr>
          <w:rFonts w:ascii="Times New Roman" w:eastAsia="Times New Roman" w:hAnsi="Times New Roman" w:cs="Times New Roman"/>
          <w:sz w:val="24"/>
          <w:szCs w:val="24"/>
          <w:lang w:val="en-US"/>
        </w:rPr>
        <w:t xml:space="preserve">, P., &amp; </w:t>
      </w:r>
      <w:proofErr w:type="spellStart"/>
      <w:r w:rsidRPr="00AF2E30">
        <w:rPr>
          <w:rFonts w:ascii="Times New Roman" w:eastAsia="Times New Roman" w:hAnsi="Times New Roman" w:cs="Times New Roman"/>
          <w:sz w:val="24"/>
          <w:szCs w:val="24"/>
          <w:lang w:val="en-US"/>
        </w:rPr>
        <w:t>Schoegel</w:t>
      </w:r>
      <w:proofErr w:type="spellEnd"/>
      <w:r w:rsidRPr="00AF2E30">
        <w:rPr>
          <w:rFonts w:ascii="Times New Roman" w:eastAsia="Times New Roman" w:hAnsi="Times New Roman" w:cs="Times New Roman"/>
          <w:sz w:val="24"/>
          <w:szCs w:val="24"/>
          <w:lang w:val="en-US"/>
        </w:rPr>
        <w:t xml:space="preserve">, M. (2020). Face forward: How employees’ digital presence on service websites affects customer perceptions of website and employee service quality. </w:t>
      </w:r>
      <w:r w:rsidRPr="00AF2E30">
        <w:rPr>
          <w:rFonts w:ascii="Times New Roman" w:eastAsia="Times New Roman" w:hAnsi="Times New Roman" w:cs="Times New Roman"/>
          <w:i/>
          <w:sz w:val="24"/>
          <w:szCs w:val="24"/>
          <w:lang w:val="en-US"/>
        </w:rPr>
        <w:t>JMR, Journal of Marketing Research</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57</w:t>
      </w:r>
      <w:r w:rsidRPr="00AF2E30">
        <w:rPr>
          <w:rFonts w:ascii="Times New Roman" w:eastAsia="Times New Roman" w:hAnsi="Times New Roman" w:cs="Times New Roman"/>
          <w:sz w:val="24"/>
          <w:szCs w:val="24"/>
          <w:lang w:val="en-US"/>
        </w:rPr>
        <w:t xml:space="preserve">(5), 917–936. </w:t>
      </w:r>
      <w:hyperlink r:id="rId44">
        <w:r w:rsidRPr="00AF2E30">
          <w:rPr>
            <w:rFonts w:ascii="Times New Roman" w:eastAsia="Times New Roman" w:hAnsi="Times New Roman" w:cs="Times New Roman"/>
            <w:color w:val="1155CC"/>
            <w:sz w:val="24"/>
            <w:szCs w:val="24"/>
            <w:u w:val="single"/>
            <w:lang w:val="en-US"/>
          </w:rPr>
          <w:t>https://doi.org/10.1177/0022243720934863</w:t>
        </w:r>
      </w:hyperlink>
      <w:r w:rsidRPr="00AF2E30">
        <w:rPr>
          <w:rFonts w:ascii="Times New Roman" w:eastAsia="Times New Roman" w:hAnsi="Times New Roman" w:cs="Times New Roman"/>
          <w:sz w:val="24"/>
          <w:szCs w:val="24"/>
          <w:lang w:val="en-US"/>
        </w:rPr>
        <w:t xml:space="preserve"> </w:t>
      </w:r>
    </w:p>
    <w:p w14:paraId="2B2A2F65"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proofErr w:type="spellStart"/>
      <w:r w:rsidRPr="00AF2E30">
        <w:rPr>
          <w:rFonts w:ascii="Times New Roman" w:eastAsia="Times New Roman" w:hAnsi="Times New Roman" w:cs="Times New Roman"/>
          <w:sz w:val="24"/>
          <w:szCs w:val="24"/>
          <w:lang w:val="en-US"/>
        </w:rPr>
        <w:t>Herhausen</w:t>
      </w:r>
      <w:proofErr w:type="spellEnd"/>
      <w:r w:rsidRPr="00AF2E30">
        <w:rPr>
          <w:rFonts w:ascii="Times New Roman" w:eastAsia="Times New Roman" w:hAnsi="Times New Roman" w:cs="Times New Roman"/>
          <w:sz w:val="24"/>
          <w:szCs w:val="24"/>
          <w:lang w:val="en-US"/>
        </w:rPr>
        <w:t xml:space="preserve">, D., Grewal, L., Cummings, K. H., Roggeveen, A. L., Villarroel Ordenes, F., &amp; Grewal, D. (2023). Complaint </w:t>
      </w:r>
      <w:proofErr w:type="spellStart"/>
      <w:r w:rsidRPr="00AF2E30">
        <w:rPr>
          <w:rFonts w:ascii="Times New Roman" w:eastAsia="Times New Roman" w:hAnsi="Times New Roman" w:cs="Times New Roman"/>
          <w:sz w:val="24"/>
          <w:szCs w:val="24"/>
          <w:lang w:val="en-US"/>
        </w:rPr>
        <w:t>DE-escalation</w:t>
      </w:r>
      <w:proofErr w:type="spellEnd"/>
      <w:r w:rsidRPr="00AF2E30">
        <w:rPr>
          <w:rFonts w:ascii="Times New Roman" w:eastAsia="Times New Roman" w:hAnsi="Times New Roman" w:cs="Times New Roman"/>
          <w:sz w:val="24"/>
          <w:szCs w:val="24"/>
          <w:lang w:val="en-US"/>
        </w:rPr>
        <w:t xml:space="preserve"> strategies on social media. </w:t>
      </w:r>
      <w:r w:rsidRPr="00AF2E30">
        <w:rPr>
          <w:rFonts w:ascii="Times New Roman" w:eastAsia="Times New Roman" w:hAnsi="Times New Roman" w:cs="Times New Roman"/>
          <w:i/>
          <w:sz w:val="24"/>
          <w:szCs w:val="24"/>
          <w:lang w:val="en-US"/>
        </w:rPr>
        <w:t>Journal of Marketing</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87</w:t>
      </w:r>
      <w:r w:rsidRPr="00AF2E30">
        <w:rPr>
          <w:rFonts w:ascii="Times New Roman" w:eastAsia="Times New Roman" w:hAnsi="Times New Roman" w:cs="Times New Roman"/>
          <w:sz w:val="24"/>
          <w:szCs w:val="24"/>
          <w:lang w:val="en-US"/>
        </w:rPr>
        <w:t xml:space="preserve">(2), 210–231. </w:t>
      </w:r>
      <w:hyperlink r:id="rId45">
        <w:r w:rsidRPr="00AF2E30">
          <w:rPr>
            <w:rFonts w:ascii="Times New Roman" w:eastAsia="Times New Roman" w:hAnsi="Times New Roman" w:cs="Times New Roman"/>
            <w:color w:val="1155CC"/>
            <w:sz w:val="24"/>
            <w:szCs w:val="24"/>
            <w:u w:val="single"/>
            <w:lang w:val="en-US"/>
          </w:rPr>
          <w:t>https://doi.org/10.1177/00222429221119977</w:t>
        </w:r>
      </w:hyperlink>
      <w:r w:rsidRPr="00AF2E30">
        <w:rPr>
          <w:rFonts w:ascii="Times New Roman" w:eastAsia="Times New Roman" w:hAnsi="Times New Roman" w:cs="Times New Roman"/>
          <w:sz w:val="24"/>
          <w:szCs w:val="24"/>
          <w:lang w:val="en-US"/>
        </w:rPr>
        <w:t xml:space="preserve"> </w:t>
      </w:r>
    </w:p>
    <w:p w14:paraId="32FC034F" w14:textId="190D5C84"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proofErr w:type="spellStart"/>
      <w:r w:rsidRPr="00AF2E30">
        <w:rPr>
          <w:rFonts w:ascii="Times New Roman" w:eastAsia="Times New Roman" w:hAnsi="Times New Roman" w:cs="Times New Roman"/>
          <w:sz w:val="24"/>
          <w:szCs w:val="24"/>
          <w:lang w:val="en-US"/>
        </w:rPr>
        <w:t>Izogo</w:t>
      </w:r>
      <w:proofErr w:type="spellEnd"/>
      <w:r w:rsidRPr="00AF2E30">
        <w:rPr>
          <w:rFonts w:ascii="Times New Roman" w:eastAsia="Times New Roman" w:hAnsi="Times New Roman" w:cs="Times New Roman"/>
          <w:sz w:val="24"/>
          <w:szCs w:val="24"/>
          <w:lang w:val="en-US"/>
        </w:rPr>
        <w:t xml:space="preserve">, E. E., &amp; Mpinganjira, M. (2024). Digital content marketing consumption motives in the age of social media: an investigation of relational and monetary outcomes. </w:t>
      </w:r>
      <w:proofErr w:type="spellStart"/>
      <w:r w:rsidRPr="00AF2E30">
        <w:rPr>
          <w:rFonts w:ascii="Times New Roman" w:eastAsia="Times New Roman" w:hAnsi="Times New Roman" w:cs="Times New Roman"/>
          <w:i/>
          <w:sz w:val="24"/>
          <w:szCs w:val="24"/>
          <w:lang w:val="en-US"/>
        </w:rPr>
        <w:t>Aslib</w:t>
      </w:r>
      <w:proofErr w:type="spellEnd"/>
      <w:r w:rsidRPr="00AF2E30">
        <w:rPr>
          <w:rFonts w:ascii="Times New Roman" w:eastAsia="Times New Roman" w:hAnsi="Times New Roman" w:cs="Times New Roman"/>
          <w:i/>
          <w:sz w:val="24"/>
          <w:szCs w:val="24"/>
          <w:lang w:val="en-US"/>
        </w:rPr>
        <w:t xml:space="preserve"> Journal of Information Management</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76</w:t>
      </w:r>
      <w:r w:rsidRPr="00AF2E30">
        <w:rPr>
          <w:rFonts w:ascii="Times New Roman" w:eastAsia="Times New Roman" w:hAnsi="Times New Roman" w:cs="Times New Roman"/>
          <w:sz w:val="24"/>
          <w:szCs w:val="24"/>
          <w:lang w:val="en-US"/>
        </w:rPr>
        <w:t xml:space="preserve">(2), 353–378. </w:t>
      </w:r>
      <w:hyperlink r:id="rId46">
        <w:r w:rsidRPr="00AF2E30">
          <w:rPr>
            <w:rFonts w:ascii="Times New Roman" w:eastAsia="Times New Roman" w:hAnsi="Times New Roman" w:cs="Times New Roman"/>
            <w:color w:val="1155CC"/>
            <w:sz w:val="24"/>
            <w:szCs w:val="24"/>
            <w:u w:val="single"/>
            <w:lang w:val="en-US"/>
          </w:rPr>
          <w:t>https://doi.org/10.1108/ajim-07-2022-0347</w:t>
        </w:r>
      </w:hyperlink>
      <w:r w:rsidRPr="00AF2E30">
        <w:rPr>
          <w:rFonts w:ascii="Times New Roman" w:eastAsia="Times New Roman" w:hAnsi="Times New Roman" w:cs="Times New Roman"/>
          <w:sz w:val="24"/>
          <w:szCs w:val="24"/>
          <w:lang w:val="en-US"/>
        </w:rPr>
        <w:t xml:space="preserve"> </w:t>
      </w:r>
    </w:p>
    <w:p w14:paraId="0917AB5E"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Jain, V., </w:t>
      </w:r>
      <w:proofErr w:type="spellStart"/>
      <w:r w:rsidRPr="00AF2E30">
        <w:rPr>
          <w:rFonts w:ascii="Times New Roman" w:eastAsia="Times New Roman" w:hAnsi="Times New Roman" w:cs="Times New Roman"/>
          <w:sz w:val="24"/>
          <w:szCs w:val="24"/>
          <w:lang w:val="en-US"/>
        </w:rPr>
        <w:t>Mogaji</w:t>
      </w:r>
      <w:proofErr w:type="spellEnd"/>
      <w:r w:rsidRPr="00AF2E30">
        <w:rPr>
          <w:rFonts w:ascii="Times New Roman" w:eastAsia="Times New Roman" w:hAnsi="Times New Roman" w:cs="Times New Roman"/>
          <w:sz w:val="24"/>
          <w:szCs w:val="24"/>
          <w:lang w:val="en-US"/>
        </w:rPr>
        <w:t xml:space="preserve">, E., Sharma, H., &amp; </w:t>
      </w:r>
      <w:proofErr w:type="spellStart"/>
      <w:r w:rsidRPr="00AF2E30">
        <w:rPr>
          <w:rFonts w:ascii="Times New Roman" w:eastAsia="Times New Roman" w:hAnsi="Times New Roman" w:cs="Times New Roman"/>
          <w:sz w:val="24"/>
          <w:szCs w:val="24"/>
          <w:lang w:val="en-US"/>
        </w:rPr>
        <w:t>Babbili</w:t>
      </w:r>
      <w:proofErr w:type="spellEnd"/>
      <w:r w:rsidRPr="00AF2E30">
        <w:rPr>
          <w:rFonts w:ascii="Times New Roman" w:eastAsia="Times New Roman" w:hAnsi="Times New Roman" w:cs="Times New Roman"/>
          <w:sz w:val="24"/>
          <w:szCs w:val="24"/>
          <w:lang w:val="en-US"/>
        </w:rPr>
        <w:t xml:space="preserve">, A. S. (2022). A multi-stakeholder </w:t>
      </w:r>
      <w:r w:rsidRPr="00AF2E30">
        <w:rPr>
          <w:rFonts w:ascii="Times New Roman" w:eastAsia="Times New Roman" w:hAnsi="Times New Roman" w:cs="Times New Roman"/>
          <w:sz w:val="24"/>
          <w:szCs w:val="24"/>
          <w:lang w:val="en-US"/>
        </w:rPr>
        <w:lastRenderedPageBreak/>
        <w:t xml:space="preserve">perspective of relationship marketing in higher education institutions. </w:t>
      </w:r>
      <w:r w:rsidRPr="00AF2E30">
        <w:rPr>
          <w:rFonts w:ascii="Times New Roman" w:eastAsia="Times New Roman" w:hAnsi="Times New Roman" w:cs="Times New Roman"/>
          <w:i/>
          <w:sz w:val="24"/>
          <w:szCs w:val="24"/>
          <w:lang w:val="en-US"/>
        </w:rPr>
        <w:t>Journal of Marketing for Higher Education</w:t>
      </w:r>
      <w:r w:rsidRPr="00AF2E30">
        <w:rPr>
          <w:rFonts w:ascii="Times New Roman" w:eastAsia="Times New Roman" w:hAnsi="Times New Roman" w:cs="Times New Roman"/>
          <w:sz w:val="24"/>
          <w:szCs w:val="24"/>
          <w:lang w:val="en-US"/>
        </w:rPr>
        <w:t xml:space="preserve">, 1–19. </w:t>
      </w:r>
      <w:hyperlink r:id="rId47">
        <w:r w:rsidRPr="00AF2E30">
          <w:rPr>
            <w:rFonts w:ascii="Times New Roman" w:eastAsia="Times New Roman" w:hAnsi="Times New Roman" w:cs="Times New Roman"/>
            <w:color w:val="1155CC"/>
            <w:sz w:val="24"/>
            <w:szCs w:val="24"/>
            <w:u w:val="single"/>
            <w:lang w:val="en-US"/>
          </w:rPr>
          <w:t>https://doi.org/10.1080/08841241.2022.2034201</w:t>
        </w:r>
      </w:hyperlink>
      <w:r w:rsidRPr="00AF2E30">
        <w:rPr>
          <w:rFonts w:ascii="Times New Roman" w:eastAsia="Times New Roman" w:hAnsi="Times New Roman" w:cs="Times New Roman"/>
          <w:sz w:val="24"/>
          <w:szCs w:val="24"/>
          <w:lang w:val="en-US"/>
        </w:rPr>
        <w:t xml:space="preserve"> </w:t>
      </w:r>
    </w:p>
    <w:p w14:paraId="6C15FB6E"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Kalra, A., Itani, O. S., &amp; Rostami, A. (2023). Can salespeople use social media to enhance brand awareness and sales performance? The role of manager empowerment and creativity. </w:t>
      </w:r>
      <w:r w:rsidRPr="00AF2E30">
        <w:rPr>
          <w:rFonts w:ascii="Times New Roman" w:eastAsia="Times New Roman" w:hAnsi="Times New Roman" w:cs="Times New Roman"/>
          <w:i/>
          <w:sz w:val="24"/>
          <w:szCs w:val="24"/>
          <w:lang w:val="en-US"/>
        </w:rPr>
        <w:t>Journal of Business &amp; Industrial Marketing</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38</w:t>
      </w:r>
      <w:r w:rsidRPr="00AF2E30">
        <w:rPr>
          <w:rFonts w:ascii="Times New Roman" w:eastAsia="Times New Roman" w:hAnsi="Times New Roman" w:cs="Times New Roman"/>
          <w:sz w:val="24"/>
          <w:szCs w:val="24"/>
          <w:lang w:val="en-US"/>
        </w:rPr>
        <w:t xml:space="preserve">(8), 1738–1753. </w:t>
      </w:r>
      <w:hyperlink r:id="rId48">
        <w:r w:rsidRPr="00AF2E30">
          <w:rPr>
            <w:rFonts w:ascii="Times New Roman" w:eastAsia="Times New Roman" w:hAnsi="Times New Roman" w:cs="Times New Roman"/>
            <w:color w:val="1155CC"/>
            <w:sz w:val="24"/>
            <w:szCs w:val="24"/>
            <w:u w:val="single"/>
            <w:lang w:val="en-US"/>
          </w:rPr>
          <w:t>https://doi.org/10.1108/jbim-01-2022-0056</w:t>
        </w:r>
      </w:hyperlink>
      <w:r w:rsidRPr="00AF2E30">
        <w:rPr>
          <w:rFonts w:ascii="Times New Roman" w:eastAsia="Times New Roman" w:hAnsi="Times New Roman" w:cs="Times New Roman"/>
          <w:sz w:val="24"/>
          <w:szCs w:val="24"/>
          <w:lang w:val="en-US"/>
        </w:rPr>
        <w:t xml:space="preserve"> </w:t>
      </w:r>
    </w:p>
    <w:p w14:paraId="225B9357"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Kim, M. (2022). How can I Be as attractive as a Fitness YouTuber in the era of COVID-19? The impact of digital attributes on flow experience, satisfaction, and behavioral intention. </w:t>
      </w:r>
      <w:r w:rsidRPr="00AF2E30">
        <w:rPr>
          <w:rFonts w:ascii="Times New Roman" w:eastAsia="Times New Roman" w:hAnsi="Times New Roman" w:cs="Times New Roman"/>
          <w:i/>
          <w:sz w:val="24"/>
          <w:szCs w:val="24"/>
          <w:lang w:val="en-US"/>
        </w:rPr>
        <w:t>Journal of Retailing and Consumer Services</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64</w:t>
      </w:r>
      <w:r w:rsidRPr="00AF2E30">
        <w:rPr>
          <w:rFonts w:ascii="Times New Roman" w:eastAsia="Times New Roman" w:hAnsi="Times New Roman" w:cs="Times New Roman"/>
          <w:sz w:val="24"/>
          <w:szCs w:val="24"/>
          <w:lang w:val="en-US"/>
        </w:rPr>
        <w:t xml:space="preserve">(102778), 102778. </w:t>
      </w:r>
      <w:hyperlink r:id="rId49">
        <w:r w:rsidRPr="00AF2E30">
          <w:rPr>
            <w:rFonts w:ascii="Times New Roman" w:eastAsia="Times New Roman" w:hAnsi="Times New Roman" w:cs="Times New Roman"/>
            <w:color w:val="1155CC"/>
            <w:sz w:val="24"/>
            <w:szCs w:val="24"/>
            <w:u w:val="single"/>
            <w:lang w:val="en-US"/>
          </w:rPr>
          <w:t>https://doi.org/10.1016/j.jretconser.2021.102778</w:t>
        </w:r>
      </w:hyperlink>
      <w:r w:rsidRPr="00AF2E30">
        <w:rPr>
          <w:rFonts w:ascii="Times New Roman" w:eastAsia="Times New Roman" w:hAnsi="Times New Roman" w:cs="Times New Roman"/>
          <w:sz w:val="24"/>
          <w:szCs w:val="24"/>
          <w:lang w:val="en-US"/>
        </w:rPr>
        <w:t xml:space="preserve"> </w:t>
      </w:r>
    </w:p>
    <w:p w14:paraId="2E302522"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Krings, W., Palmer, R., &amp; </w:t>
      </w:r>
      <w:proofErr w:type="spellStart"/>
      <w:r w:rsidRPr="00AF2E30">
        <w:rPr>
          <w:rFonts w:ascii="Times New Roman" w:eastAsia="Times New Roman" w:hAnsi="Times New Roman" w:cs="Times New Roman"/>
          <w:sz w:val="24"/>
          <w:szCs w:val="24"/>
          <w:lang w:val="en-US"/>
        </w:rPr>
        <w:t>Inversini</w:t>
      </w:r>
      <w:proofErr w:type="spellEnd"/>
      <w:r w:rsidRPr="00AF2E30">
        <w:rPr>
          <w:rFonts w:ascii="Times New Roman" w:eastAsia="Times New Roman" w:hAnsi="Times New Roman" w:cs="Times New Roman"/>
          <w:sz w:val="24"/>
          <w:szCs w:val="24"/>
          <w:lang w:val="en-US"/>
        </w:rPr>
        <w:t xml:space="preserve">, A. (2021). Industrial marketing management digital media optimization for B2B marketing. </w:t>
      </w:r>
      <w:r w:rsidRPr="00AF2E30">
        <w:rPr>
          <w:rFonts w:ascii="Times New Roman" w:eastAsia="Times New Roman" w:hAnsi="Times New Roman" w:cs="Times New Roman"/>
          <w:i/>
          <w:sz w:val="24"/>
          <w:szCs w:val="24"/>
          <w:lang w:val="en-US"/>
        </w:rPr>
        <w:t>Industrial Marketing Management</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93</w:t>
      </w:r>
      <w:r w:rsidRPr="00AF2E30">
        <w:rPr>
          <w:rFonts w:ascii="Times New Roman" w:eastAsia="Times New Roman" w:hAnsi="Times New Roman" w:cs="Times New Roman"/>
          <w:sz w:val="24"/>
          <w:szCs w:val="24"/>
          <w:lang w:val="en-US"/>
        </w:rPr>
        <w:t xml:space="preserve">, 174–186. </w:t>
      </w:r>
      <w:hyperlink r:id="rId50">
        <w:r w:rsidRPr="00AF2E30">
          <w:rPr>
            <w:rFonts w:ascii="Times New Roman" w:eastAsia="Times New Roman" w:hAnsi="Times New Roman" w:cs="Times New Roman"/>
            <w:color w:val="1155CC"/>
            <w:sz w:val="24"/>
            <w:szCs w:val="24"/>
            <w:u w:val="single"/>
            <w:lang w:val="en-US"/>
          </w:rPr>
          <w:t>https://doi.org/10.1016/j.indmarman.2021.01.002</w:t>
        </w:r>
      </w:hyperlink>
    </w:p>
    <w:p w14:paraId="080D497E"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Krishen, A. S., Dwivedi, Y. K., Bindu, N., &amp; Kumar, K. S. (2021). A broad overview of interactive digital marketing: A bibliometric network analysis. </w:t>
      </w:r>
      <w:r w:rsidRPr="00AF2E30">
        <w:rPr>
          <w:rFonts w:ascii="Times New Roman" w:eastAsia="Times New Roman" w:hAnsi="Times New Roman" w:cs="Times New Roman"/>
          <w:i/>
          <w:sz w:val="24"/>
          <w:szCs w:val="24"/>
          <w:lang w:val="en-US"/>
        </w:rPr>
        <w:t>Journal of Business Research</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131</w:t>
      </w:r>
      <w:r w:rsidRPr="00AF2E30">
        <w:rPr>
          <w:rFonts w:ascii="Times New Roman" w:eastAsia="Times New Roman" w:hAnsi="Times New Roman" w:cs="Times New Roman"/>
          <w:sz w:val="24"/>
          <w:szCs w:val="24"/>
          <w:lang w:val="en-US"/>
        </w:rPr>
        <w:t xml:space="preserve">, 183–195. </w:t>
      </w:r>
      <w:hyperlink r:id="rId51">
        <w:r w:rsidRPr="00AF2E30">
          <w:rPr>
            <w:rFonts w:ascii="Times New Roman" w:eastAsia="Times New Roman" w:hAnsi="Times New Roman" w:cs="Times New Roman"/>
            <w:color w:val="1155CC"/>
            <w:sz w:val="24"/>
            <w:szCs w:val="24"/>
            <w:u w:val="single"/>
            <w:lang w:val="en-US"/>
          </w:rPr>
          <w:t>https://doi.org/10.1016/j.jbusres.2021.03.061</w:t>
        </w:r>
      </w:hyperlink>
      <w:r w:rsidRPr="00AF2E30">
        <w:rPr>
          <w:rFonts w:ascii="Times New Roman" w:eastAsia="Times New Roman" w:hAnsi="Times New Roman" w:cs="Times New Roman"/>
          <w:sz w:val="24"/>
          <w:szCs w:val="24"/>
          <w:lang w:val="en-US"/>
        </w:rPr>
        <w:t xml:space="preserve"> </w:t>
      </w:r>
    </w:p>
    <w:p w14:paraId="00C92CD6" w14:textId="77777777" w:rsidR="00D51211" w:rsidRDefault="00D51211" w:rsidP="00D51211">
      <w:pPr>
        <w:widowControl w:val="0"/>
        <w:spacing w:before="12pt" w:line="18pt" w:lineRule="auto"/>
        <w:ind w:start="72pt" w:hanging="36pt"/>
        <w:jc w:val="both"/>
        <w:rPr>
          <w:rFonts w:ascii="Times New Roman" w:eastAsia="Times New Roman" w:hAnsi="Times New Roman" w:cs="Times New Roman"/>
          <w:sz w:val="24"/>
          <w:szCs w:val="24"/>
        </w:rPr>
      </w:pPr>
      <w:r w:rsidRPr="00AF2E30">
        <w:rPr>
          <w:rFonts w:ascii="Times New Roman" w:eastAsia="Times New Roman" w:hAnsi="Times New Roman" w:cs="Times New Roman"/>
          <w:sz w:val="24"/>
          <w:szCs w:val="24"/>
          <w:lang w:val="en-US"/>
        </w:rPr>
        <w:t>Linares-</w:t>
      </w:r>
      <w:proofErr w:type="spellStart"/>
      <w:r w:rsidRPr="00AF2E30">
        <w:rPr>
          <w:rFonts w:ascii="Times New Roman" w:eastAsia="Times New Roman" w:hAnsi="Times New Roman" w:cs="Times New Roman"/>
          <w:sz w:val="24"/>
          <w:szCs w:val="24"/>
          <w:lang w:val="en-US"/>
        </w:rPr>
        <w:t>Espinós</w:t>
      </w:r>
      <w:proofErr w:type="spellEnd"/>
      <w:r w:rsidRPr="00AF2E30">
        <w:rPr>
          <w:rFonts w:ascii="Times New Roman" w:eastAsia="Times New Roman" w:hAnsi="Times New Roman" w:cs="Times New Roman"/>
          <w:sz w:val="24"/>
          <w:szCs w:val="24"/>
          <w:lang w:val="en-US"/>
        </w:rPr>
        <w:t>, E., Hernández, V., Domínguez-</w:t>
      </w:r>
      <w:proofErr w:type="spellStart"/>
      <w:r w:rsidRPr="00AF2E30">
        <w:rPr>
          <w:rFonts w:ascii="Times New Roman" w:eastAsia="Times New Roman" w:hAnsi="Times New Roman" w:cs="Times New Roman"/>
          <w:sz w:val="24"/>
          <w:szCs w:val="24"/>
          <w:lang w:val="en-US"/>
        </w:rPr>
        <w:t>Escrig</w:t>
      </w:r>
      <w:proofErr w:type="spellEnd"/>
      <w:r w:rsidRPr="00AF2E30">
        <w:rPr>
          <w:rFonts w:ascii="Times New Roman" w:eastAsia="Times New Roman" w:hAnsi="Times New Roman" w:cs="Times New Roman"/>
          <w:sz w:val="24"/>
          <w:szCs w:val="24"/>
          <w:lang w:val="en-US"/>
        </w:rPr>
        <w:t xml:space="preserve">, J. L., Fernández-Pello, S., Hevia, V., Mayor, J., Padilla-Fernández, B., &amp; Ribal, M. J. (2018). </w:t>
      </w:r>
      <w:r>
        <w:rPr>
          <w:rFonts w:ascii="Times New Roman" w:eastAsia="Times New Roman" w:hAnsi="Times New Roman" w:cs="Times New Roman"/>
          <w:sz w:val="24"/>
          <w:szCs w:val="24"/>
        </w:rPr>
        <w:t xml:space="preserve">Metodología de una revisión sistemática. </w:t>
      </w:r>
      <w:r>
        <w:rPr>
          <w:rFonts w:ascii="Times New Roman" w:eastAsia="Times New Roman" w:hAnsi="Times New Roman" w:cs="Times New Roman"/>
          <w:i/>
          <w:sz w:val="24"/>
          <w:szCs w:val="24"/>
        </w:rPr>
        <w:t xml:space="preserve">Actas </w:t>
      </w:r>
      <w:proofErr w:type="spellStart"/>
      <w:r>
        <w:rPr>
          <w:rFonts w:ascii="Times New Roman" w:eastAsia="Times New Roman" w:hAnsi="Times New Roman" w:cs="Times New Roman"/>
          <w:i/>
          <w:sz w:val="24"/>
          <w:szCs w:val="24"/>
        </w:rPr>
        <w:t>urologicas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espanolas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42</w:t>
      </w:r>
      <w:r>
        <w:rPr>
          <w:rFonts w:ascii="Times New Roman" w:eastAsia="Times New Roman" w:hAnsi="Times New Roman" w:cs="Times New Roman"/>
          <w:sz w:val="24"/>
          <w:szCs w:val="24"/>
        </w:rPr>
        <w:t xml:space="preserve">(8), 499–506. </w:t>
      </w:r>
      <w:hyperlink r:id="rId52">
        <w:r>
          <w:rPr>
            <w:rFonts w:ascii="Times New Roman" w:eastAsia="Times New Roman" w:hAnsi="Times New Roman" w:cs="Times New Roman"/>
            <w:color w:val="1155CC"/>
            <w:sz w:val="24"/>
            <w:szCs w:val="24"/>
            <w:u w:val="single"/>
          </w:rPr>
          <w:t>https://doi.org/10.1016/j.acuro.2018.01.010</w:t>
        </w:r>
      </w:hyperlink>
      <w:r>
        <w:rPr>
          <w:rFonts w:ascii="Times New Roman" w:eastAsia="Times New Roman" w:hAnsi="Times New Roman" w:cs="Times New Roman"/>
          <w:sz w:val="24"/>
          <w:szCs w:val="24"/>
        </w:rPr>
        <w:t xml:space="preserve"> </w:t>
      </w:r>
    </w:p>
    <w:p w14:paraId="1611FE03" w14:textId="192AC67D"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Matos, J. de P., </w:t>
      </w:r>
      <w:proofErr w:type="spellStart"/>
      <w:r>
        <w:rPr>
          <w:rFonts w:ascii="Times New Roman" w:eastAsia="Times New Roman" w:hAnsi="Times New Roman" w:cs="Times New Roman"/>
          <w:sz w:val="24"/>
          <w:szCs w:val="24"/>
        </w:rPr>
        <w:t>Rodrigues</w:t>
      </w:r>
      <w:proofErr w:type="spellEnd"/>
      <w:r>
        <w:rPr>
          <w:rFonts w:ascii="Times New Roman" w:eastAsia="Times New Roman" w:hAnsi="Times New Roman" w:cs="Times New Roman"/>
          <w:sz w:val="24"/>
          <w:szCs w:val="24"/>
        </w:rPr>
        <w:t xml:space="preserve">, M. B., </w:t>
      </w:r>
      <w:proofErr w:type="spellStart"/>
      <w:r>
        <w:rPr>
          <w:rFonts w:ascii="Times New Roman" w:eastAsia="Times New Roman" w:hAnsi="Times New Roman" w:cs="Times New Roman"/>
          <w:sz w:val="24"/>
          <w:szCs w:val="24"/>
        </w:rPr>
        <w:t>Vandevijvere</w:t>
      </w:r>
      <w:proofErr w:type="spellEnd"/>
      <w:r>
        <w:rPr>
          <w:rFonts w:ascii="Times New Roman" w:eastAsia="Times New Roman" w:hAnsi="Times New Roman" w:cs="Times New Roman"/>
          <w:sz w:val="24"/>
          <w:szCs w:val="24"/>
        </w:rPr>
        <w:t xml:space="preserve">, S., Claro, R. M., &amp; Horta, P. M. (2022). Global case </w:t>
      </w:r>
      <w:proofErr w:type="spellStart"/>
      <w:r>
        <w:rPr>
          <w:rFonts w:ascii="Times New Roman" w:eastAsia="Times New Roman" w:hAnsi="Times New Roman" w:cs="Times New Roman"/>
          <w:sz w:val="24"/>
          <w:szCs w:val="24"/>
        </w:rPr>
        <w:t>study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digital marketing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social media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a top soda </w:t>
      </w:r>
      <w:proofErr w:type="spellStart"/>
      <w:r>
        <w:rPr>
          <w:rFonts w:ascii="Times New Roman" w:eastAsia="Times New Roman" w:hAnsi="Times New Roman" w:cs="Times New Roman"/>
          <w:sz w:val="24"/>
          <w:szCs w:val="24"/>
        </w:rPr>
        <w:t>brand</w:t>
      </w:r>
      <w:proofErr w:type="spellEnd"/>
      <w:r>
        <w:rPr>
          <w:rFonts w:ascii="Times New Roman" w:eastAsia="Times New Roman" w:hAnsi="Times New Roman" w:cs="Times New Roman"/>
          <w:sz w:val="24"/>
          <w:szCs w:val="24"/>
        </w:rPr>
        <w:t xml:space="preserve">. </w:t>
      </w:r>
      <w:r w:rsidRPr="00AF2E30">
        <w:rPr>
          <w:rFonts w:ascii="Times New Roman" w:eastAsia="Times New Roman" w:hAnsi="Times New Roman" w:cs="Times New Roman"/>
          <w:i/>
          <w:sz w:val="24"/>
          <w:szCs w:val="24"/>
          <w:lang w:val="en-US"/>
        </w:rPr>
        <w:t>Health Promotion International</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37</w:t>
      </w:r>
      <w:r w:rsidRPr="00AF2E30">
        <w:rPr>
          <w:rFonts w:ascii="Times New Roman" w:eastAsia="Times New Roman" w:hAnsi="Times New Roman" w:cs="Times New Roman"/>
          <w:sz w:val="24"/>
          <w:szCs w:val="24"/>
          <w:lang w:val="en-US"/>
        </w:rPr>
        <w:t xml:space="preserve">(5). </w:t>
      </w:r>
      <w:hyperlink r:id="rId53">
        <w:r w:rsidRPr="00AF2E30">
          <w:rPr>
            <w:rFonts w:ascii="Times New Roman" w:eastAsia="Times New Roman" w:hAnsi="Times New Roman" w:cs="Times New Roman"/>
            <w:color w:val="1155CC"/>
            <w:sz w:val="24"/>
            <w:szCs w:val="24"/>
            <w:u w:val="single"/>
            <w:lang w:val="en-US"/>
          </w:rPr>
          <w:t>https://doi.org/10.1093/heapro/daac133</w:t>
        </w:r>
      </w:hyperlink>
      <w:r w:rsidRPr="00AF2E30">
        <w:rPr>
          <w:rFonts w:ascii="Times New Roman" w:eastAsia="Times New Roman" w:hAnsi="Times New Roman" w:cs="Times New Roman"/>
          <w:sz w:val="24"/>
          <w:szCs w:val="24"/>
          <w:lang w:val="en-US"/>
        </w:rPr>
        <w:t xml:space="preserve"> </w:t>
      </w:r>
    </w:p>
    <w:p w14:paraId="4B4A7C9A"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lastRenderedPageBreak/>
        <w:t xml:space="preserve">Moran, G., </w:t>
      </w:r>
      <w:proofErr w:type="spellStart"/>
      <w:r w:rsidRPr="00AF2E30">
        <w:rPr>
          <w:rFonts w:ascii="Times New Roman" w:eastAsia="Times New Roman" w:hAnsi="Times New Roman" w:cs="Times New Roman"/>
          <w:sz w:val="24"/>
          <w:szCs w:val="24"/>
          <w:lang w:val="en-US"/>
        </w:rPr>
        <w:t>Muzellec</w:t>
      </w:r>
      <w:proofErr w:type="spellEnd"/>
      <w:r w:rsidRPr="00AF2E30">
        <w:rPr>
          <w:rFonts w:ascii="Times New Roman" w:eastAsia="Times New Roman" w:hAnsi="Times New Roman" w:cs="Times New Roman"/>
          <w:sz w:val="24"/>
          <w:szCs w:val="24"/>
          <w:lang w:val="en-US"/>
        </w:rPr>
        <w:t xml:space="preserve">, L., &amp; Johnson, D. (2019). Message content features and social media engagement: evidence from the media industry. </w:t>
      </w:r>
      <w:r w:rsidRPr="00AF2E30">
        <w:rPr>
          <w:rFonts w:ascii="Times New Roman" w:eastAsia="Times New Roman" w:hAnsi="Times New Roman" w:cs="Times New Roman"/>
          <w:i/>
          <w:sz w:val="24"/>
          <w:szCs w:val="24"/>
          <w:lang w:val="en-US"/>
        </w:rPr>
        <w:t>Journal of Product &amp; Brand Management</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29</w:t>
      </w:r>
      <w:r w:rsidRPr="00AF2E30">
        <w:rPr>
          <w:rFonts w:ascii="Times New Roman" w:eastAsia="Times New Roman" w:hAnsi="Times New Roman" w:cs="Times New Roman"/>
          <w:sz w:val="24"/>
          <w:szCs w:val="24"/>
          <w:lang w:val="en-US"/>
        </w:rPr>
        <w:t xml:space="preserve">(5), 533–545. </w:t>
      </w:r>
      <w:hyperlink r:id="rId54">
        <w:r w:rsidRPr="00AF2E30">
          <w:rPr>
            <w:rFonts w:ascii="Times New Roman" w:eastAsia="Times New Roman" w:hAnsi="Times New Roman" w:cs="Times New Roman"/>
            <w:color w:val="1155CC"/>
            <w:sz w:val="24"/>
            <w:szCs w:val="24"/>
            <w:u w:val="single"/>
            <w:lang w:val="en-US"/>
          </w:rPr>
          <w:t>https://doi.org/10.1108/jpbm-09-2018-2014</w:t>
        </w:r>
      </w:hyperlink>
      <w:r w:rsidRPr="00AF2E30">
        <w:rPr>
          <w:rFonts w:ascii="Times New Roman" w:eastAsia="Times New Roman" w:hAnsi="Times New Roman" w:cs="Times New Roman"/>
          <w:sz w:val="24"/>
          <w:szCs w:val="24"/>
          <w:lang w:val="en-US"/>
        </w:rPr>
        <w:t xml:space="preserve"> </w:t>
      </w:r>
    </w:p>
    <w:p w14:paraId="039AECAD"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Morgan, N. A., Jayachandran, S., Hulland, J., Kumar, B., </w:t>
      </w:r>
      <w:proofErr w:type="spellStart"/>
      <w:r w:rsidRPr="00AF2E30">
        <w:rPr>
          <w:rFonts w:ascii="Times New Roman" w:eastAsia="Times New Roman" w:hAnsi="Times New Roman" w:cs="Times New Roman"/>
          <w:sz w:val="24"/>
          <w:szCs w:val="24"/>
          <w:lang w:val="en-US"/>
        </w:rPr>
        <w:t>Katsikeas</w:t>
      </w:r>
      <w:proofErr w:type="spellEnd"/>
      <w:r w:rsidRPr="00AF2E30">
        <w:rPr>
          <w:rFonts w:ascii="Times New Roman" w:eastAsia="Times New Roman" w:hAnsi="Times New Roman" w:cs="Times New Roman"/>
          <w:sz w:val="24"/>
          <w:szCs w:val="24"/>
          <w:lang w:val="en-US"/>
        </w:rPr>
        <w:t xml:space="preserve">, C., &amp; Somosi, A. (2022). Marketing performance assessment and accountability: Process and outcomes. </w:t>
      </w:r>
      <w:r w:rsidRPr="00AF2E30">
        <w:rPr>
          <w:rFonts w:ascii="Times New Roman" w:eastAsia="Times New Roman" w:hAnsi="Times New Roman" w:cs="Times New Roman"/>
          <w:i/>
          <w:sz w:val="24"/>
          <w:szCs w:val="24"/>
          <w:lang w:val="en-US"/>
        </w:rPr>
        <w:t>International Journal of Research in Marketing</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39</w:t>
      </w:r>
      <w:r w:rsidRPr="00AF2E30">
        <w:rPr>
          <w:rFonts w:ascii="Times New Roman" w:eastAsia="Times New Roman" w:hAnsi="Times New Roman" w:cs="Times New Roman"/>
          <w:sz w:val="24"/>
          <w:szCs w:val="24"/>
          <w:lang w:val="en-US"/>
        </w:rPr>
        <w:t xml:space="preserve">(2), 462–481. </w:t>
      </w:r>
      <w:hyperlink r:id="rId55">
        <w:r w:rsidRPr="00AF2E30">
          <w:rPr>
            <w:rFonts w:ascii="Times New Roman" w:eastAsia="Times New Roman" w:hAnsi="Times New Roman" w:cs="Times New Roman"/>
            <w:color w:val="1155CC"/>
            <w:sz w:val="24"/>
            <w:szCs w:val="24"/>
            <w:u w:val="single"/>
            <w:lang w:val="en-US"/>
          </w:rPr>
          <w:t>https://doi.org/10.1016/j.ijresmar.2021.10.008</w:t>
        </w:r>
      </w:hyperlink>
      <w:r w:rsidRPr="00AF2E30">
        <w:rPr>
          <w:rFonts w:ascii="Times New Roman" w:eastAsia="Times New Roman" w:hAnsi="Times New Roman" w:cs="Times New Roman"/>
          <w:sz w:val="24"/>
          <w:szCs w:val="24"/>
          <w:lang w:val="en-US"/>
        </w:rPr>
        <w:t xml:space="preserve"> </w:t>
      </w:r>
    </w:p>
    <w:p w14:paraId="69765C52" w14:textId="77777777" w:rsidR="00D51211" w:rsidRDefault="00D51211" w:rsidP="00D51211">
      <w:pPr>
        <w:widowControl w:val="0"/>
        <w:spacing w:before="12pt" w:line="18pt" w:lineRule="auto"/>
        <w:ind w:start="72pt" w:hanging="36pt"/>
        <w:jc w:val="both"/>
        <w:rPr>
          <w:rFonts w:ascii="Times New Roman" w:eastAsia="Times New Roman" w:hAnsi="Times New Roman" w:cs="Times New Roman"/>
          <w:sz w:val="24"/>
          <w:szCs w:val="24"/>
        </w:rPr>
      </w:pPr>
      <w:r w:rsidRPr="00AF2E30">
        <w:rPr>
          <w:rFonts w:ascii="Times New Roman" w:eastAsia="Times New Roman" w:hAnsi="Times New Roman" w:cs="Times New Roman"/>
          <w:sz w:val="24"/>
          <w:szCs w:val="24"/>
          <w:lang w:val="en-US"/>
        </w:rPr>
        <w:t xml:space="preserve">Olson, E. M., Olson, K. M., Czaplewski, A. J., &amp; Key, T. M. (2021). Business strategy and the management of digital marketing. </w:t>
      </w:r>
      <w:r w:rsidRPr="00AF2E30">
        <w:rPr>
          <w:rFonts w:ascii="Times New Roman" w:eastAsia="Times New Roman" w:hAnsi="Times New Roman" w:cs="Times New Roman"/>
          <w:i/>
          <w:sz w:val="24"/>
          <w:szCs w:val="24"/>
          <w:lang w:val="en-US"/>
        </w:rPr>
        <w:t>Business Horizons</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64</w:t>
      </w:r>
      <w:r w:rsidRPr="00AF2E30">
        <w:rPr>
          <w:rFonts w:ascii="Times New Roman" w:eastAsia="Times New Roman" w:hAnsi="Times New Roman" w:cs="Times New Roman"/>
          <w:sz w:val="24"/>
          <w:szCs w:val="24"/>
          <w:lang w:val="en-US"/>
        </w:rPr>
        <w:t xml:space="preserve">(2), 285–293. </w:t>
      </w:r>
      <w:hyperlink r:id="rId56">
        <w:r>
          <w:rPr>
            <w:rFonts w:ascii="Times New Roman" w:eastAsia="Times New Roman" w:hAnsi="Times New Roman" w:cs="Times New Roman"/>
            <w:color w:val="1155CC"/>
            <w:sz w:val="24"/>
            <w:szCs w:val="24"/>
            <w:u w:val="single"/>
          </w:rPr>
          <w:t>https://doi.org/10.1016/j.bushor.2020.12.004</w:t>
        </w:r>
      </w:hyperlink>
      <w:r>
        <w:rPr>
          <w:rFonts w:ascii="Times New Roman" w:eastAsia="Times New Roman" w:hAnsi="Times New Roman" w:cs="Times New Roman"/>
          <w:sz w:val="24"/>
          <w:szCs w:val="24"/>
        </w:rPr>
        <w:t xml:space="preserve"> </w:t>
      </w:r>
    </w:p>
    <w:p w14:paraId="7CC0ADD2"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Page, M. J., McKenzie, J. E., </w:t>
      </w:r>
      <w:proofErr w:type="spellStart"/>
      <w:r>
        <w:rPr>
          <w:rFonts w:ascii="Times New Roman" w:eastAsia="Times New Roman" w:hAnsi="Times New Roman" w:cs="Times New Roman"/>
          <w:sz w:val="24"/>
          <w:szCs w:val="24"/>
        </w:rPr>
        <w:t>Bossuyt</w:t>
      </w:r>
      <w:proofErr w:type="spellEnd"/>
      <w:r>
        <w:rPr>
          <w:rFonts w:ascii="Times New Roman" w:eastAsia="Times New Roman" w:hAnsi="Times New Roman" w:cs="Times New Roman"/>
          <w:sz w:val="24"/>
          <w:szCs w:val="24"/>
        </w:rPr>
        <w:t xml:space="preserve">, P. M., </w:t>
      </w:r>
      <w:proofErr w:type="spellStart"/>
      <w:r>
        <w:rPr>
          <w:rFonts w:ascii="Times New Roman" w:eastAsia="Times New Roman" w:hAnsi="Times New Roman" w:cs="Times New Roman"/>
          <w:sz w:val="24"/>
          <w:szCs w:val="24"/>
        </w:rPr>
        <w:t>Boutron</w:t>
      </w:r>
      <w:proofErr w:type="spellEnd"/>
      <w:r>
        <w:rPr>
          <w:rFonts w:ascii="Times New Roman" w:eastAsia="Times New Roman" w:hAnsi="Times New Roman" w:cs="Times New Roman"/>
          <w:sz w:val="24"/>
          <w:szCs w:val="24"/>
        </w:rPr>
        <w:t xml:space="preserve">, I., Hoffmann, T. C., </w:t>
      </w:r>
      <w:proofErr w:type="spellStart"/>
      <w:r>
        <w:rPr>
          <w:rFonts w:ascii="Times New Roman" w:eastAsia="Times New Roman" w:hAnsi="Times New Roman" w:cs="Times New Roman"/>
          <w:sz w:val="24"/>
          <w:szCs w:val="24"/>
        </w:rPr>
        <w:t>Mulrow</w:t>
      </w:r>
      <w:proofErr w:type="spellEnd"/>
      <w:r>
        <w:rPr>
          <w:rFonts w:ascii="Times New Roman" w:eastAsia="Times New Roman" w:hAnsi="Times New Roman" w:cs="Times New Roman"/>
          <w:sz w:val="24"/>
          <w:szCs w:val="24"/>
        </w:rPr>
        <w:t xml:space="preserve">, C. D., </w:t>
      </w:r>
      <w:proofErr w:type="spellStart"/>
      <w:r>
        <w:rPr>
          <w:rFonts w:ascii="Times New Roman" w:eastAsia="Times New Roman" w:hAnsi="Times New Roman" w:cs="Times New Roman"/>
          <w:sz w:val="24"/>
          <w:szCs w:val="24"/>
        </w:rPr>
        <w:t>Shamseer</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Tetzlaff</w:t>
      </w:r>
      <w:proofErr w:type="spellEnd"/>
      <w:r>
        <w:rPr>
          <w:rFonts w:ascii="Times New Roman" w:eastAsia="Times New Roman" w:hAnsi="Times New Roman" w:cs="Times New Roman"/>
          <w:sz w:val="24"/>
          <w:szCs w:val="24"/>
        </w:rPr>
        <w:t xml:space="preserve">, J. M., </w:t>
      </w:r>
      <w:proofErr w:type="spellStart"/>
      <w:r>
        <w:rPr>
          <w:rFonts w:ascii="Times New Roman" w:eastAsia="Times New Roman" w:hAnsi="Times New Roman" w:cs="Times New Roman"/>
          <w:sz w:val="24"/>
          <w:szCs w:val="24"/>
        </w:rPr>
        <w:t>Akl</w:t>
      </w:r>
      <w:proofErr w:type="spellEnd"/>
      <w:r>
        <w:rPr>
          <w:rFonts w:ascii="Times New Roman" w:eastAsia="Times New Roman" w:hAnsi="Times New Roman" w:cs="Times New Roman"/>
          <w:sz w:val="24"/>
          <w:szCs w:val="24"/>
        </w:rPr>
        <w:t xml:space="preserve">, E. A., Brennan, S. E., Chou, R., </w:t>
      </w:r>
      <w:proofErr w:type="spellStart"/>
      <w:r>
        <w:rPr>
          <w:rFonts w:ascii="Times New Roman" w:eastAsia="Times New Roman" w:hAnsi="Times New Roman" w:cs="Times New Roman"/>
          <w:sz w:val="24"/>
          <w:szCs w:val="24"/>
        </w:rPr>
        <w:t>Glanville</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Grimshaw</w:t>
      </w:r>
      <w:proofErr w:type="spellEnd"/>
      <w:r>
        <w:rPr>
          <w:rFonts w:ascii="Times New Roman" w:eastAsia="Times New Roman" w:hAnsi="Times New Roman" w:cs="Times New Roman"/>
          <w:sz w:val="24"/>
          <w:szCs w:val="24"/>
        </w:rPr>
        <w:t xml:space="preserve">, J. M., </w:t>
      </w:r>
      <w:proofErr w:type="spellStart"/>
      <w:r>
        <w:rPr>
          <w:rFonts w:ascii="Times New Roman" w:eastAsia="Times New Roman" w:hAnsi="Times New Roman" w:cs="Times New Roman"/>
          <w:sz w:val="24"/>
          <w:szCs w:val="24"/>
        </w:rPr>
        <w:t>Hróbjartsson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Lalu</w:t>
      </w:r>
      <w:proofErr w:type="spellEnd"/>
      <w:r>
        <w:rPr>
          <w:rFonts w:ascii="Times New Roman" w:eastAsia="Times New Roman" w:hAnsi="Times New Roman" w:cs="Times New Roman"/>
          <w:sz w:val="24"/>
          <w:szCs w:val="24"/>
        </w:rPr>
        <w:t xml:space="preserve">, M. M., Li, T., </w:t>
      </w:r>
      <w:proofErr w:type="spellStart"/>
      <w:r>
        <w:rPr>
          <w:rFonts w:ascii="Times New Roman" w:eastAsia="Times New Roman" w:hAnsi="Times New Roman" w:cs="Times New Roman"/>
          <w:sz w:val="24"/>
          <w:szCs w:val="24"/>
        </w:rPr>
        <w:t>Loder</w:t>
      </w:r>
      <w:proofErr w:type="spellEnd"/>
      <w:r>
        <w:rPr>
          <w:rFonts w:ascii="Times New Roman" w:eastAsia="Times New Roman" w:hAnsi="Times New Roman" w:cs="Times New Roman"/>
          <w:sz w:val="24"/>
          <w:szCs w:val="24"/>
        </w:rPr>
        <w:t xml:space="preserve">, E. W., Mayo-Wilson, E., McDonald, S., … Alonso-Fernández, S. (2021). Declaración PRISMA 2020: una guía actualizada para la publicación de revisiones sistemáticas. </w:t>
      </w:r>
      <w:proofErr w:type="spellStart"/>
      <w:r w:rsidRPr="00AF2E30">
        <w:rPr>
          <w:rFonts w:ascii="Times New Roman" w:eastAsia="Times New Roman" w:hAnsi="Times New Roman" w:cs="Times New Roman"/>
          <w:i/>
          <w:sz w:val="24"/>
          <w:szCs w:val="24"/>
          <w:lang w:val="en-US"/>
        </w:rPr>
        <w:t>Revista</w:t>
      </w:r>
      <w:proofErr w:type="spellEnd"/>
      <w:r w:rsidRPr="00AF2E30">
        <w:rPr>
          <w:rFonts w:ascii="Times New Roman" w:eastAsia="Times New Roman" w:hAnsi="Times New Roman" w:cs="Times New Roman"/>
          <w:i/>
          <w:sz w:val="24"/>
          <w:szCs w:val="24"/>
          <w:lang w:val="en-US"/>
        </w:rPr>
        <w:t xml:space="preserve"> </w:t>
      </w:r>
      <w:proofErr w:type="spellStart"/>
      <w:r w:rsidRPr="00AF2E30">
        <w:rPr>
          <w:rFonts w:ascii="Times New Roman" w:eastAsia="Times New Roman" w:hAnsi="Times New Roman" w:cs="Times New Roman"/>
          <w:i/>
          <w:sz w:val="24"/>
          <w:szCs w:val="24"/>
          <w:lang w:val="en-US"/>
        </w:rPr>
        <w:t>espanola</w:t>
      </w:r>
      <w:proofErr w:type="spellEnd"/>
      <w:r w:rsidRPr="00AF2E30">
        <w:rPr>
          <w:rFonts w:ascii="Times New Roman" w:eastAsia="Times New Roman" w:hAnsi="Times New Roman" w:cs="Times New Roman"/>
          <w:i/>
          <w:sz w:val="24"/>
          <w:szCs w:val="24"/>
          <w:lang w:val="en-US"/>
        </w:rPr>
        <w:t xml:space="preserve"> de </w:t>
      </w:r>
      <w:proofErr w:type="spellStart"/>
      <w:r w:rsidRPr="00AF2E30">
        <w:rPr>
          <w:rFonts w:ascii="Times New Roman" w:eastAsia="Times New Roman" w:hAnsi="Times New Roman" w:cs="Times New Roman"/>
          <w:i/>
          <w:sz w:val="24"/>
          <w:szCs w:val="24"/>
          <w:lang w:val="en-US"/>
        </w:rPr>
        <w:t>cardiologia</w:t>
      </w:r>
      <w:proofErr w:type="spellEnd"/>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74</w:t>
      </w:r>
      <w:r w:rsidRPr="00AF2E30">
        <w:rPr>
          <w:rFonts w:ascii="Times New Roman" w:eastAsia="Times New Roman" w:hAnsi="Times New Roman" w:cs="Times New Roman"/>
          <w:sz w:val="24"/>
          <w:szCs w:val="24"/>
          <w:lang w:val="en-US"/>
        </w:rPr>
        <w:t xml:space="preserve">(9), 790–799. </w:t>
      </w:r>
      <w:hyperlink r:id="rId57">
        <w:r w:rsidRPr="00AF2E30">
          <w:rPr>
            <w:rFonts w:ascii="Times New Roman" w:eastAsia="Times New Roman" w:hAnsi="Times New Roman" w:cs="Times New Roman"/>
            <w:color w:val="1155CC"/>
            <w:sz w:val="24"/>
            <w:szCs w:val="24"/>
            <w:u w:val="single"/>
            <w:lang w:val="en-US"/>
          </w:rPr>
          <w:t>https://doi.org/10.1016/j.recesp.2021.06.016</w:t>
        </w:r>
      </w:hyperlink>
      <w:r w:rsidRPr="00AF2E30">
        <w:rPr>
          <w:rFonts w:ascii="Times New Roman" w:eastAsia="Times New Roman" w:hAnsi="Times New Roman" w:cs="Times New Roman"/>
          <w:sz w:val="24"/>
          <w:szCs w:val="24"/>
          <w:lang w:val="en-US"/>
        </w:rPr>
        <w:t xml:space="preserve"> </w:t>
      </w:r>
    </w:p>
    <w:p w14:paraId="06D9510C"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B792C">
        <w:rPr>
          <w:rFonts w:ascii="Times New Roman" w:eastAsia="Times New Roman" w:hAnsi="Times New Roman" w:cs="Times New Roman"/>
          <w:sz w:val="24"/>
          <w:szCs w:val="24"/>
          <w:lang w:val="en-US"/>
        </w:rPr>
        <w:t xml:space="preserve">Rose, S., Fandel, D., </w:t>
      </w:r>
      <w:proofErr w:type="spellStart"/>
      <w:r w:rsidRPr="00AB792C">
        <w:rPr>
          <w:rFonts w:ascii="Times New Roman" w:eastAsia="Times New Roman" w:hAnsi="Times New Roman" w:cs="Times New Roman"/>
          <w:sz w:val="24"/>
          <w:szCs w:val="24"/>
          <w:lang w:val="en-US"/>
        </w:rPr>
        <w:t>Saraeva</w:t>
      </w:r>
      <w:proofErr w:type="spellEnd"/>
      <w:r w:rsidRPr="00AB792C">
        <w:rPr>
          <w:rFonts w:ascii="Times New Roman" w:eastAsia="Times New Roman" w:hAnsi="Times New Roman" w:cs="Times New Roman"/>
          <w:sz w:val="24"/>
          <w:szCs w:val="24"/>
          <w:lang w:val="en-US"/>
        </w:rPr>
        <w:t xml:space="preserve">, A., &amp; Dibley, A. (2021). </w:t>
      </w:r>
      <w:r w:rsidRPr="00AF2E30">
        <w:rPr>
          <w:rFonts w:ascii="Times New Roman" w:eastAsia="Times New Roman" w:hAnsi="Times New Roman" w:cs="Times New Roman"/>
          <w:sz w:val="24"/>
          <w:szCs w:val="24"/>
          <w:lang w:val="en-US"/>
        </w:rPr>
        <w:t xml:space="preserve">Sharing is the name of the game: Exploring the role of social media communication practices on B2B customer relationships in the life sciences industry. </w:t>
      </w:r>
      <w:r w:rsidRPr="00AF2E30">
        <w:rPr>
          <w:rFonts w:ascii="Times New Roman" w:eastAsia="Times New Roman" w:hAnsi="Times New Roman" w:cs="Times New Roman"/>
          <w:i/>
          <w:sz w:val="24"/>
          <w:szCs w:val="24"/>
          <w:lang w:val="en-US"/>
        </w:rPr>
        <w:t>Industrial Marketing Management</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93</w:t>
      </w:r>
      <w:r w:rsidRPr="00AF2E30">
        <w:rPr>
          <w:rFonts w:ascii="Times New Roman" w:eastAsia="Times New Roman" w:hAnsi="Times New Roman" w:cs="Times New Roman"/>
          <w:sz w:val="24"/>
          <w:szCs w:val="24"/>
          <w:lang w:val="en-US"/>
        </w:rPr>
        <w:t xml:space="preserve">, 52–62. </w:t>
      </w:r>
      <w:hyperlink r:id="rId58">
        <w:r w:rsidRPr="00AF2E30">
          <w:rPr>
            <w:rFonts w:ascii="Times New Roman" w:eastAsia="Times New Roman" w:hAnsi="Times New Roman" w:cs="Times New Roman"/>
            <w:color w:val="1155CC"/>
            <w:sz w:val="24"/>
            <w:szCs w:val="24"/>
            <w:u w:val="single"/>
            <w:lang w:val="en-US"/>
          </w:rPr>
          <w:t>https://doi.org/10.1016/j.indmarman.2020.12.013</w:t>
        </w:r>
      </w:hyperlink>
      <w:r w:rsidRPr="00AF2E30">
        <w:rPr>
          <w:rFonts w:ascii="Times New Roman" w:eastAsia="Times New Roman" w:hAnsi="Times New Roman" w:cs="Times New Roman"/>
          <w:sz w:val="24"/>
          <w:szCs w:val="24"/>
          <w:lang w:val="en-US"/>
        </w:rPr>
        <w:t xml:space="preserve"> </w:t>
      </w:r>
    </w:p>
    <w:p w14:paraId="5A06E14B" w14:textId="77777777" w:rsidR="00D51211" w:rsidRDefault="00D51211" w:rsidP="00D51211">
      <w:pPr>
        <w:widowControl w:val="0"/>
        <w:spacing w:before="12pt" w:line="18pt" w:lineRule="auto"/>
        <w:ind w:start="72pt" w:hanging="36pt"/>
        <w:jc w:val="both"/>
        <w:rPr>
          <w:rFonts w:ascii="Times New Roman" w:eastAsia="Times New Roman" w:hAnsi="Times New Roman" w:cs="Times New Roman"/>
          <w:sz w:val="24"/>
          <w:szCs w:val="24"/>
        </w:rPr>
      </w:pPr>
      <w:proofErr w:type="spellStart"/>
      <w:r w:rsidRPr="00AF2E30">
        <w:rPr>
          <w:rFonts w:ascii="Times New Roman" w:eastAsia="Times New Roman" w:hAnsi="Times New Roman" w:cs="Times New Roman"/>
          <w:sz w:val="24"/>
          <w:szCs w:val="24"/>
          <w:lang w:val="en-US"/>
        </w:rPr>
        <w:t>Schweidel</w:t>
      </w:r>
      <w:proofErr w:type="spellEnd"/>
      <w:r w:rsidRPr="00AF2E30">
        <w:rPr>
          <w:rFonts w:ascii="Times New Roman" w:eastAsia="Times New Roman" w:hAnsi="Times New Roman" w:cs="Times New Roman"/>
          <w:sz w:val="24"/>
          <w:szCs w:val="24"/>
          <w:lang w:val="en-US"/>
        </w:rPr>
        <w:t xml:space="preserve">, D. A., Bart, Y., Inman, J. J., Stephen, A. T., Libai, B., Andrews, M., Rosario, A. B., Chae, I., Chen, Z., Kupor, D., Longoni, C., &amp; Thomaz, F. </w:t>
      </w:r>
      <w:r w:rsidRPr="00AF2E30">
        <w:rPr>
          <w:rFonts w:ascii="Times New Roman" w:eastAsia="Times New Roman" w:hAnsi="Times New Roman" w:cs="Times New Roman"/>
          <w:sz w:val="24"/>
          <w:szCs w:val="24"/>
          <w:lang w:val="en-US"/>
        </w:rPr>
        <w:lastRenderedPageBreak/>
        <w:t xml:space="preserve">(2022). How consumer digital signals are reshaping the customer journey. </w:t>
      </w:r>
      <w:r w:rsidRPr="00AF2E30">
        <w:rPr>
          <w:rFonts w:ascii="Times New Roman" w:eastAsia="Times New Roman" w:hAnsi="Times New Roman" w:cs="Times New Roman"/>
          <w:i/>
          <w:sz w:val="24"/>
          <w:szCs w:val="24"/>
          <w:lang w:val="en-US"/>
        </w:rPr>
        <w:t>Journal of the Academy of Marketing Science</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50</w:t>
      </w:r>
      <w:r w:rsidRPr="00AF2E30">
        <w:rPr>
          <w:rFonts w:ascii="Times New Roman" w:eastAsia="Times New Roman" w:hAnsi="Times New Roman" w:cs="Times New Roman"/>
          <w:sz w:val="24"/>
          <w:szCs w:val="24"/>
          <w:lang w:val="en-US"/>
        </w:rPr>
        <w:t xml:space="preserve">(6), 1257–1276. </w:t>
      </w:r>
      <w:hyperlink r:id="rId59">
        <w:r>
          <w:rPr>
            <w:rFonts w:ascii="Times New Roman" w:eastAsia="Times New Roman" w:hAnsi="Times New Roman" w:cs="Times New Roman"/>
            <w:color w:val="1155CC"/>
            <w:sz w:val="24"/>
            <w:szCs w:val="24"/>
            <w:u w:val="single"/>
          </w:rPr>
          <w:t>https://doi.org/10.1007/s11747-022-00839-w</w:t>
        </w:r>
      </w:hyperlink>
    </w:p>
    <w:p w14:paraId="54FDF354"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rPr>
        <w:t>Šerić</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Ozretić-Došen</w:t>
      </w:r>
      <w:proofErr w:type="spellEnd"/>
      <w:r>
        <w:rPr>
          <w:rFonts w:ascii="Times New Roman" w:eastAsia="Times New Roman" w:hAnsi="Times New Roman" w:cs="Times New Roman"/>
          <w:sz w:val="24"/>
          <w:szCs w:val="24"/>
        </w:rPr>
        <w:t xml:space="preserve">, Đ., &amp; </w:t>
      </w:r>
      <w:proofErr w:type="spellStart"/>
      <w:r>
        <w:rPr>
          <w:rFonts w:ascii="Times New Roman" w:eastAsia="Times New Roman" w:hAnsi="Times New Roman" w:cs="Times New Roman"/>
          <w:sz w:val="24"/>
          <w:szCs w:val="24"/>
        </w:rPr>
        <w:t>Škare</w:t>
      </w:r>
      <w:proofErr w:type="spellEnd"/>
      <w:r>
        <w:rPr>
          <w:rFonts w:ascii="Times New Roman" w:eastAsia="Times New Roman" w:hAnsi="Times New Roman" w:cs="Times New Roman"/>
          <w:sz w:val="24"/>
          <w:szCs w:val="24"/>
        </w:rPr>
        <w:t xml:space="preserve">, V. (2020). </w:t>
      </w:r>
      <w:r w:rsidRPr="00AF2E30">
        <w:rPr>
          <w:rFonts w:ascii="Times New Roman" w:eastAsia="Times New Roman" w:hAnsi="Times New Roman" w:cs="Times New Roman"/>
          <w:sz w:val="24"/>
          <w:szCs w:val="24"/>
          <w:lang w:val="en-US"/>
        </w:rPr>
        <w:t xml:space="preserve">How can perceived consistency in marketing communications influence customer–brand relationship outcomes? </w:t>
      </w:r>
      <w:r w:rsidRPr="00AF2E30">
        <w:rPr>
          <w:rFonts w:ascii="Times New Roman" w:eastAsia="Times New Roman" w:hAnsi="Times New Roman" w:cs="Times New Roman"/>
          <w:i/>
          <w:sz w:val="24"/>
          <w:szCs w:val="24"/>
          <w:lang w:val="en-US"/>
        </w:rPr>
        <w:t>European Management Journal</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38</w:t>
      </w:r>
      <w:r w:rsidRPr="00AF2E30">
        <w:rPr>
          <w:rFonts w:ascii="Times New Roman" w:eastAsia="Times New Roman" w:hAnsi="Times New Roman" w:cs="Times New Roman"/>
          <w:sz w:val="24"/>
          <w:szCs w:val="24"/>
          <w:lang w:val="en-US"/>
        </w:rPr>
        <w:t xml:space="preserve">(2), 335–343. </w:t>
      </w:r>
      <w:hyperlink r:id="rId60">
        <w:r w:rsidRPr="00AF2E30">
          <w:rPr>
            <w:rFonts w:ascii="Times New Roman" w:eastAsia="Times New Roman" w:hAnsi="Times New Roman" w:cs="Times New Roman"/>
            <w:color w:val="1155CC"/>
            <w:sz w:val="24"/>
            <w:szCs w:val="24"/>
            <w:u w:val="single"/>
            <w:lang w:val="en-US"/>
          </w:rPr>
          <w:t>https://doi.org/10.1016/j.emj.2019.08.011</w:t>
        </w:r>
      </w:hyperlink>
      <w:r w:rsidRPr="00AF2E30">
        <w:rPr>
          <w:rFonts w:ascii="Times New Roman" w:eastAsia="Times New Roman" w:hAnsi="Times New Roman" w:cs="Times New Roman"/>
          <w:sz w:val="24"/>
          <w:szCs w:val="24"/>
          <w:lang w:val="en-US"/>
        </w:rPr>
        <w:t xml:space="preserve"> </w:t>
      </w:r>
    </w:p>
    <w:p w14:paraId="2D6CCBBD"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sz w:val="24"/>
          <w:szCs w:val="24"/>
          <w:lang w:val="en-US"/>
        </w:rPr>
      </w:pPr>
      <w:r w:rsidRPr="00AF2E30">
        <w:rPr>
          <w:rFonts w:ascii="Times New Roman" w:eastAsia="Times New Roman" w:hAnsi="Times New Roman" w:cs="Times New Roman"/>
          <w:sz w:val="24"/>
          <w:szCs w:val="24"/>
          <w:lang w:val="en-US"/>
        </w:rPr>
        <w:t xml:space="preserve">Sheth, J. N. (2020). Borderless media: Rethinking international marketing. </w:t>
      </w:r>
      <w:r w:rsidRPr="00AF2E30">
        <w:rPr>
          <w:rFonts w:ascii="Times New Roman" w:eastAsia="Times New Roman" w:hAnsi="Times New Roman" w:cs="Times New Roman"/>
          <w:i/>
          <w:sz w:val="24"/>
          <w:szCs w:val="24"/>
          <w:lang w:val="en-US"/>
        </w:rPr>
        <w:t>Journal of International Marketing</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28</w:t>
      </w:r>
      <w:r w:rsidRPr="00AF2E30">
        <w:rPr>
          <w:rFonts w:ascii="Times New Roman" w:eastAsia="Times New Roman" w:hAnsi="Times New Roman" w:cs="Times New Roman"/>
          <w:sz w:val="24"/>
          <w:szCs w:val="24"/>
          <w:lang w:val="en-US"/>
        </w:rPr>
        <w:t xml:space="preserve">(1), 3–12. </w:t>
      </w:r>
      <w:hyperlink r:id="rId61">
        <w:r w:rsidRPr="00AF2E30">
          <w:rPr>
            <w:rFonts w:ascii="Times New Roman" w:eastAsia="Times New Roman" w:hAnsi="Times New Roman" w:cs="Times New Roman"/>
            <w:color w:val="1155CC"/>
            <w:sz w:val="24"/>
            <w:szCs w:val="24"/>
            <w:u w:val="single"/>
            <w:lang w:val="en-US"/>
          </w:rPr>
          <w:t>https://doi.org/10.1177/1069031x19897044</w:t>
        </w:r>
      </w:hyperlink>
    </w:p>
    <w:p w14:paraId="41D0CC8E" w14:textId="77777777" w:rsidR="00D51211" w:rsidRPr="00AF2E30" w:rsidRDefault="00D51211" w:rsidP="00D51211">
      <w:pPr>
        <w:widowControl w:val="0"/>
        <w:spacing w:before="12pt" w:line="18pt" w:lineRule="auto"/>
        <w:ind w:start="72pt" w:hanging="36pt"/>
        <w:jc w:val="both"/>
        <w:rPr>
          <w:rFonts w:ascii="Times New Roman" w:eastAsia="Times New Roman" w:hAnsi="Times New Roman" w:cs="Times New Roman"/>
          <w:lang w:val="en-US"/>
        </w:rPr>
      </w:pPr>
      <w:r w:rsidRPr="00AF2E30">
        <w:rPr>
          <w:rFonts w:ascii="Times New Roman" w:eastAsia="Times New Roman" w:hAnsi="Times New Roman" w:cs="Times New Roman"/>
          <w:sz w:val="24"/>
          <w:szCs w:val="24"/>
          <w:lang w:val="en-US"/>
        </w:rPr>
        <w:t xml:space="preserve">Wu, Y., Nambisan, S., Xiao, J., &amp; Xie, K. (2022). Consumer resource integration and service innovation in social commerce: the role of social media influencers. </w:t>
      </w:r>
      <w:r w:rsidRPr="00AF2E30">
        <w:rPr>
          <w:rFonts w:ascii="Times New Roman" w:eastAsia="Times New Roman" w:hAnsi="Times New Roman" w:cs="Times New Roman"/>
          <w:i/>
          <w:sz w:val="24"/>
          <w:szCs w:val="24"/>
          <w:lang w:val="en-US"/>
        </w:rPr>
        <w:t>Journal of the Academy of Marketing Science</w:t>
      </w:r>
      <w:r w:rsidRPr="00AF2E30">
        <w:rPr>
          <w:rFonts w:ascii="Times New Roman" w:eastAsia="Times New Roman" w:hAnsi="Times New Roman" w:cs="Times New Roman"/>
          <w:sz w:val="24"/>
          <w:szCs w:val="24"/>
          <w:lang w:val="en-US"/>
        </w:rPr>
        <w:t xml:space="preserve">, </w:t>
      </w:r>
      <w:r w:rsidRPr="00AF2E30">
        <w:rPr>
          <w:rFonts w:ascii="Times New Roman" w:eastAsia="Times New Roman" w:hAnsi="Times New Roman" w:cs="Times New Roman"/>
          <w:i/>
          <w:sz w:val="24"/>
          <w:szCs w:val="24"/>
          <w:lang w:val="en-US"/>
        </w:rPr>
        <w:t>50</w:t>
      </w:r>
      <w:r w:rsidRPr="00AF2E30">
        <w:rPr>
          <w:rFonts w:ascii="Times New Roman" w:eastAsia="Times New Roman" w:hAnsi="Times New Roman" w:cs="Times New Roman"/>
          <w:sz w:val="24"/>
          <w:szCs w:val="24"/>
          <w:lang w:val="en-US"/>
        </w:rPr>
        <w:t xml:space="preserve">(3), 429–459. </w:t>
      </w:r>
      <w:hyperlink r:id="rId62">
        <w:r w:rsidRPr="00AF2E30">
          <w:rPr>
            <w:rFonts w:ascii="Times New Roman" w:eastAsia="Times New Roman" w:hAnsi="Times New Roman" w:cs="Times New Roman"/>
            <w:color w:val="1155CC"/>
            <w:sz w:val="24"/>
            <w:szCs w:val="24"/>
            <w:u w:val="single"/>
            <w:lang w:val="en-US"/>
          </w:rPr>
          <w:t>https://doi.org/10.1007/s11747-022-00837-y</w:t>
        </w:r>
      </w:hyperlink>
      <w:bookmarkEnd w:id="9"/>
      <w:r w:rsidRPr="00AF2E30">
        <w:rPr>
          <w:rFonts w:ascii="Times New Roman" w:eastAsia="Times New Roman" w:hAnsi="Times New Roman" w:cs="Times New Roman"/>
          <w:sz w:val="24"/>
          <w:szCs w:val="24"/>
          <w:lang w:val="en-US"/>
        </w:rPr>
        <w:t xml:space="preserve"> </w:t>
      </w:r>
    </w:p>
    <w:p w14:paraId="65024694" w14:textId="44337662" w:rsidR="0068230B" w:rsidRPr="00D51211" w:rsidRDefault="0068230B" w:rsidP="00D51211">
      <w:pPr>
        <w:spacing w:after="0pt" w:line="18pt" w:lineRule="auto"/>
        <w:ind w:start="72pt" w:hanging="36pt"/>
        <w:jc w:val="both"/>
        <w:rPr>
          <w:rFonts w:ascii="Times New Roman" w:hAnsi="Times New Roman" w:cs="Times New Roman"/>
          <w:lang w:val="en-US"/>
        </w:rPr>
      </w:pPr>
    </w:p>
    <w:sectPr w:rsidR="0068230B" w:rsidRPr="00D51211" w:rsidSect="003B55D7">
      <w:headerReference w:type="even" r:id="rId63"/>
      <w:headerReference w:type="default" r:id="rId64"/>
      <w:pgSz w:w="595.30pt" w:h="841.90pt"/>
      <w:pgMar w:top="70.85pt" w:right="85.05pt" w:bottom="70.85pt" w:left="85.05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28ACCC26" w14:textId="77777777" w:rsidR="00095958" w:rsidRDefault="00095958" w:rsidP="00901D1C">
      <w:pPr>
        <w:spacing w:after="0pt" w:line="12pt" w:lineRule="auto"/>
      </w:pPr>
      <w:r>
        <w:separator/>
      </w:r>
    </w:p>
  </w:endnote>
  <w:endnote w:type="continuationSeparator" w:id="0">
    <w:p w14:paraId="63D58443" w14:textId="77777777" w:rsidR="00095958" w:rsidRDefault="00095958" w:rsidP="00901D1C">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Goudy Old Style">
    <w:panose1 w:val="02020502050305020303"/>
    <w:charset w:characterSet="iso-8859-1"/>
    <w:family w:val="roman"/>
    <w:pitch w:val="variable"/>
    <w:sig w:usb0="00000003" w:usb1="00000000" w:usb2="00000000" w:usb3="00000000" w:csb0="00000001" w:csb1="00000000"/>
  </w:font>
  <w:font w:name="Book Antiqua">
    <w:panose1 w:val="02040602050305030304"/>
    <w:charset w:characterSet="iso-8859-1"/>
    <w:family w:val="roman"/>
    <w:pitch w:val="variable"/>
    <w:sig w:usb0="00000287" w:usb1="00000000" w:usb2="00000000" w:usb3="00000000" w:csb0="0000009F" w:csb1="00000000"/>
  </w:font>
  <w:font w:name="Arial">
    <w:panose1 w:val="020B0604020202020204"/>
    <w:charset w:characterSet="iso-8859-1"/>
    <w:family w:val="swiss"/>
    <w:pitch w:val="variable"/>
    <w:sig w:usb0="E0002EFF" w:usb1="C000785B" w:usb2="00000009" w:usb3="00000000" w:csb0="000001FF" w:csb1="00000000"/>
  </w:font>
  <w:font w:name="Palatino Linotype">
    <w:panose1 w:val="02040502050505030304"/>
    <w:charset w:characterSet="iso-8859-1"/>
    <w:family w:val="roman"/>
    <w:pitch w:val="variable"/>
    <w:sig w:usb0="E0000287" w:usb1="40000013" w:usb2="00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1974403827"/>
      <w:docPartObj>
        <w:docPartGallery w:val="Page Numbers (Bottom of Page)"/>
        <w:docPartUnique/>
      </w:docPartObj>
    </w:sdtPr>
    <w:sdtContent>
      <w:p w14:paraId="3CFD603A" w14:textId="144E7670" w:rsidR="00613C2D" w:rsidRDefault="00613C2D">
        <w:pPr>
          <w:pStyle w:val="Piedepgina"/>
          <w:pBdr>
            <w:bottom w:val="single" w:sz="6" w:space="1" w:color="auto"/>
          </w:pBdr>
          <w:jc w:val="end"/>
        </w:pPr>
        <w:r>
          <w:fldChar w:fldCharType="begin"/>
        </w:r>
        <w:r>
          <w:instrText>PAGE   \* MERGEFORMAT</w:instrText>
        </w:r>
        <w:r>
          <w:fldChar w:fldCharType="separate"/>
        </w:r>
        <w:r>
          <w:rPr>
            <w:lang w:val="es-ES"/>
          </w:rPr>
          <w:t>2</w:t>
        </w:r>
        <w:r>
          <w:fldChar w:fldCharType="end"/>
        </w:r>
      </w:p>
    </w:sdtContent>
  </w:sdt>
  <w:p w14:paraId="37C6A2F9" w14:textId="47267D14" w:rsidR="00613C2D" w:rsidRPr="00601C86" w:rsidRDefault="00613C2D">
    <w:pPr>
      <w:pStyle w:val="Piedepgina"/>
      <w:rPr>
        <w:rFonts w:ascii="Book Antiqua" w:hAnsi="Book Antiqua"/>
        <w:b/>
        <w:bCs/>
        <w:color w:val="00B050"/>
      </w:rPr>
    </w:pPr>
    <w:r w:rsidRPr="00601C86">
      <w:rPr>
        <w:rFonts w:ascii="Book Antiqua" w:eastAsiaTheme="majorEastAsia" w:hAnsi="Book Antiqua" w:cstheme="majorBidi"/>
        <w:b/>
        <w:bCs/>
        <w:color w:val="00B050"/>
        <w:sz w:val="20"/>
        <w:szCs w:val="20"/>
      </w:rPr>
      <w:t>Revista Ciencias y Artes 202</w:t>
    </w:r>
    <w:r w:rsidR="00091E0A">
      <w:rPr>
        <w:rFonts w:ascii="Book Antiqua" w:eastAsiaTheme="majorEastAsia" w:hAnsi="Book Antiqua" w:cstheme="majorBidi"/>
        <w:b/>
        <w:bCs/>
        <w:color w:val="00B050"/>
        <w:sz w:val="20"/>
        <w:szCs w:val="20"/>
      </w:rPr>
      <w:t>4</w:t>
    </w:r>
    <w:r w:rsidRPr="00601C86">
      <w:rPr>
        <w:rFonts w:ascii="Book Antiqua" w:eastAsiaTheme="majorEastAsia" w:hAnsi="Book Antiqua" w:cstheme="majorBidi"/>
        <w:b/>
        <w:bCs/>
        <w:color w:val="00B050"/>
        <w:sz w:val="20"/>
        <w:szCs w:val="20"/>
      </w:rPr>
      <w:t xml:space="preserve">, </w:t>
    </w:r>
    <w:r w:rsidR="00091E0A">
      <w:rPr>
        <w:rFonts w:ascii="Book Antiqua" w:eastAsiaTheme="majorEastAsia" w:hAnsi="Book Antiqua" w:cstheme="majorBidi"/>
        <w:b/>
        <w:bCs/>
        <w:color w:val="00B050"/>
        <w:sz w:val="20"/>
        <w:szCs w:val="20"/>
      </w:rPr>
      <w:t>2</w:t>
    </w:r>
    <w:r w:rsidRPr="00601C86">
      <w:rPr>
        <w:rFonts w:ascii="Book Antiqua" w:eastAsiaTheme="majorEastAsia" w:hAnsi="Book Antiqua" w:cstheme="majorBidi"/>
        <w:b/>
        <w:bCs/>
        <w:color w:val="00B050"/>
        <w:sz w:val="20"/>
        <w:szCs w:val="20"/>
      </w:rPr>
      <w:t>(</w:t>
    </w:r>
    <w:r w:rsidR="00D51211">
      <w:rPr>
        <w:rFonts w:ascii="Book Antiqua" w:eastAsiaTheme="majorEastAsia" w:hAnsi="Book Antiqua" w:cstheme="majorBidi"/>
        <w:b/>
        <w:bCs/>
        <w:color w:val="00B050"/>
        <w:sz w:val="20"/>
        <w:szCs w:val="20"/>
      </w:rPr>
      <w:t>3</w:t>
    </w:r>
    <w:r w:rsidRPr="00601C86">
      <w:rPr>
        <w:rFonts w:ascii="Book Antiqua" w:eastAsiaTheme="majorEastAsia" w:hAnsi="Book Antiqua" w:cstheme="majorBidi"/>
        <w:b/>
        <w:bCs/>
        <w:color w:val="00B050"/>
        <w:sz w:val="20"/>
        <w:szCs w:val="20"/>
      </w:rPr>
      <w:t xml:space="preserve">), </w:t>
    </w:r>
    <w:r w:rsidR="00B319F5">
      <w:rPr>
        <w:rFonts w:ascii="Book Antiqua" w:eastAsiaTheme="majorEastAsia" w:hAnsi="Book Antiqua" w:cstheme="majorBidi"/>
        <w:b/>
        <w:bCs/>
        <w:color w:val="00B050"/>
        <w:sz w:val="20"/>
        <w:szCs w:val="20"/>
      </w:rPr>
      <w:t>81</w:t>
    </w:r>
    <w:r w:rsidRPr="00601C86">
      <w:rPr>
        <w:rFonts w:ascii="Book Antiqua" w:eastAsiaTheme="majorEastAsia" w:hAnsi="Book Antiqua" w:cstheme="majorBidi"/>
        <w:b/>
        <w:bCs/>
        <w:color w:val="00B050"/>
        <w:sz w:val="20"/>
        <w:szCs w:val="20"/>
      </w:rPr>
      <w:t>-</w:t>
    </w:r>
    <w:r w:rsidR="00B319F5">
      <w:rPr>
        <w:rFonts w:ascii="Book Antiqua" w:eastAsiaTheme="majorEastAsia" w:hAnsi="Book Antiqua" w:cstheme="majorBidi"/>
        <w:b/>
        <w:bCs/>
        <w:color w:val="00B050"/>
        <w:sz w:val="20"/>
        <w:szCs w:val="20"/>
      </w:rPr>
      <w:t>117</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641165490"/>
      <w:docPartObj>
        <w:docPartGallery w:val="Page Numbers (Bottom of Page)"/>
        <w:docPartUnique/>
      </w:docPartObj>
    </w:sdtPr>
    <w:sdtContent>
      <w:p w14:paraId="5F0CEAC7" w14:textId="77777777" w:rsidR="001E77F2" w:rsidRDefault="001E77F2" w:rsidP="00613C2D">
        <w:pPr>
          <w:pStyle w:val="Piedepgina"/>
          <w:pBdr>
            <w:bottom w:val="single" w:sz="6" w:space="1" w:color="auto"/>
          </w:pBdr>
          <w:jc w:val="end"/>
        </w:pPr>
        <w:r>
          <w:fldChar w:fldCharType="begin"/>
        </w:r>
        <w:r>
          <w:instrText>PAGE   \* MERGEFORMAT</w:instrText>
        </w:r>
        <w:r>
          <w:fldChar w:fldCharType="separate"/>
        </w:r>
        <w:r>
          <w:rPr>
            <w:noProof/>
          </w:rPr>
          <w:t>3</w:t>
        </w:r>
        <w:r>
          <w:fldChar w:fldCharType="end"/>
        </w:r>
      </w:p>
    </w:sdtContent>
  </w:sdt>
  <w:p w14:paraId="0D97BACC" w14:textId="24C9A48D" w:rsidR="001E77F2" w:rsidRPr="001C434C" w:rsidRDefault="00613C2D">
    <w:pPr>
      <w:pStyle w:val="Piedepgina"/>
      <w:rPr>
        <w:b/>
        <w:bCs/>
        <w:color w:val="1F4E79" w:themeColor="accent5" w:themeShade="80"/>
      </w:rPr>
    </w:pPr>
    <w:r w:rsidRPr="001C434C">
      <w:rPr>
        <w:rFonts w:eastAsia="Calibri"/>
        <w:b/>
        <w:bCs/>
        <w:color w:val="1F4E79" w:themeColor="accent5" w:themeShade="80"/>
        <w:sz w:val="20"/>
        <w:szCs w:val="20"/>
        <w:lang w:val="es-MX"/>
      </w:rPr>
      <w:t xml:space="preserve">ISSN </w:t>
    </w:r>
    <w:r w:rsidRPr="001C434C">
      <w:rPr>
        <w:b/>
        <w:bCs/>
        <w:color w:val="1F4E79" w:themeColor="accent5" w:themeShade="80"/>
        <w:sz w:val="20"/>
        <w:szCs w:val="20"/>
        <w:shd w:val="clear" w:color="auto" w:fill="FFFFFF"/>
      </w:rPr>
      <w:t>2789-1216</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4FA54F5F" w14:textId="77777777" w:rsidR="00095958" w:rsidRDefault="00095958" w:rsidP="00901D1C">
      <w:pPr>
        <w:spacing w:after="0pt" w:line="12pt" w:lineRule="auto"/>
      </w:pPr>
      <w:r>
        <w:separator/>
      </w:r>
    </w:p>
  </w:footnote>
  <w:footnote w:type="continuationSeparator" w:id="0">
    <w:p w14:paraId="7CA706A2" w14:textId="77777777" w:rsidR="00095958" w:rsidRDefault="00095958" w:rsidP="00901D1C">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DC9D2E6" w14:textId="42183C10" w:rsidR="00687AAB" w:rsidRPr="00091E0A" w:rsidRDefault="00687AAB" w:rsidP="00687AAB">
    <w:pPr>
      <w:tabs>
        <w:tab w:val="center" w:pos="220.95pt"/>
        <w:tab w:val="end" w:pos="441.90pt"/>
      </w:tabs>
      <w:spacing w:after="0pt" w:line="12pt" w:lineRule="auto"/>
      <w:rPr>
        <w:rFonts w:asciiTheme="majorHAnsi" w:eastAsia="Calibri" w:hAnsiTheme="majorHAnsi" w:cstheme="majorHAnsi"/>
        <w:bCs/>
        <w:color w:val="00B050"/>
      </w:rPr>
    </w:pPr>
    <w:r w:rsidRPr="00091E0A">
      <w:rPr>
        <w:rFonts w:asciiTheme="majorHAnsi" w:eastAsia="Calibri" w:hAnsiTheme="majorHAnsi" w:cstheme="majorHAnsi"/>
        <w:bCs/>
        <w:noProof/>
        <w:color w:val="00B050"/>
        <w:lang w:eastAsia="es-PE"/>
      </w:rPr>
      <w:drawing>
        <wp:anchor distT="0" distB="0" distL="114300" distR="114300" simplePos="0" relativeHeight="251661312" behindDoc="0" locked="0" layoutInCell="1" allowOverlap="1" wp14:anchorId="660E1E31" wp14:editId="2B40AD4A">
          <wp:simplePos x="0" y="0"/>
          <wp:positionH relativeFrom="margin">
            <wp:posOffset>5000625</wp:posOffset>
          </wp:positionH>
          <wp:positionV relativeFrom="margin">
            <wp:posOffset>-953770</wp:posOffset>
          </wp:positionV>
          <wp:extent cx="1051560" cy="913130"/>
          <wp:effectExtent l="0" t="0" r="0" b="1270"/>
          <wp:wrapSquare wrapText="bothSides"/>
          <wp:docPr id="458001620" name="Imagen 45800162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1E0A">
      <w:rPr>
        <w:rFonts w:asciiTheme="majorHAnsi" w:eastAsia="Calibri" w:hAnsiTheme="majorHAnsi" w:cstheme="majorHAnsi"/>
        <w:bCs/>
        <w:color w:val="00B050"/>
      </w:rPr>
      <w:t>Revista Ciencias y Artes 202</w:t>
    </w:r>
    <w:r w:rsidR="005F7C66" w:rsidRPr="00091E0A">
      <w:rPr>
        <w:rFonts w:asciiTheme="majorHAnsi" w:eastAsia="Calibri" w:hAnsiTheme="majorHAnsi" w:cstheme="majorHAnsi"/>
        <w:bCs/>
        <w:color w:val="00B050"/>
      </w:rPr>
      <w:t>4</w:t>
    </w:r>
    <w:r w:rsidRPr="00091E0A">
      <w:rPr>
        <w:rFonts w:asciiTheme="majorHAnsi" w:eastAsia="Calibri" w:hAnsiTheme="majorHAnsi" w:cstheme="majorHAnsi"/>
        <w:bCs/>
        <w:color w:val="00B050"/>
      </w:rPr>
      <w:t xml:space="preserve">, </w:t>
    </w:r>
    <w:r w:rsidR="00D51211">
      <w:rPr>
        <w:rFonts w:asciiTheme="majorHAnsi" w:eastAsia="Calibri" w:hAnsiTheme="majorHAnsi" w:cstheme="majorHAnsi"/>
        <w:bCs/>
        <w:color w:val="00B050"/>
      </w:rPr>
      <w:t>2</w:t>
    </w:r>
    <w:r w:rsidRPr="00091E0A">
      <w:rPr>
        <w:rFonts w:asciiTheme="majorHAnsi" w:eastAsia="Calibri" w:hAnsiTheme="majorHAnsi" w:cstheme="majorHAnsi"/>
        <w:bCs/>
        <w:color w:val="00B050"/>
      </w:rPr>
      <w:t>(</w:t>
    </w:r>
    <w:r w:rsidR="00D51211">
      <w:rPr>
        <w:rFonts w:asciiTheme="majorHAnsi" w:eastAsia="Calibri" w:hAnsiTheme="majorHAnsi" w:cstheme="majorHAnsi"/>
        <w:bCs/>
        <w:color w:val="00B050"/>
      </w:rPr>
      <w:t>3</w:t>
    </w:r>
    <w:r w:rsidRPr="00091E0A">
      <w:rPr>
        <w:rFonts w:asciiTheme="majorHAnsi" w:eastAsia="Calibri" w:hAnsiTheme="majorHAnsi" w:cstheme="majorHAnsi"/>
        <w:bCs/>
        <w:color w:val="00B050"/>
      </w:rPr>
      <w:t xml:space="preserve">), </w:t>
    </w:r>
    <w:r w:rsidR="00D51211">
      <w:rPr>
        <w:rFonts w:asciiTheme="majorHAnsi" w:eastAsia="Calibri" w:hAnsiTheme="majorHAnsi" w:cstheme="majorHAnsi"/>
        <w:bCs/>
        <w:color w:val="00B050"/>
      </w:rPr>
      <w:t>58</w:t>
    </w:r>
    <w:r w:rsidRPr="00091E0A">
      <w:rPr>
        <w:rFonts w:asciiTheme="majorHAnsi" w:eastAsia="Calibri" w:hAnsiTheme="majorHAnsi" w:cstheme="majorHAnsi"/>
        <w:bCs/>
        <w:color w:val="00B050"/>
      </w:rPr>
      <w:t>-</w:t>
    </w:r>
    <w:r w:rsidR="00D51211">
      <w:rPr>
        <w:rFonts w:asciiTheme="majorHAnsi" w:eastAsia="Calibri" w:hAnsiTheme="majorHAnsi" w:cstheme="majorHAnsi"/>
        <w:bCs/>
        <w:color w:val="00B050"/>
      </w:rPr>
      <w:t>94</w:t>
    </w:r>
  </w:p>
  <w:p w14:paraId="2EBAE5E8" w14:textId="77777777" w:rsidR="005F7298" w:rsidRDefault="005F7298" w:rsidP="005F7298">
    <w:pPr>
      <w:spacing w:after="0pt" w:line="12pt" w:lineRule="auto"/>
      <w:jc w:val="center"/>
      <w:rPr>
        <w:rFonts w:ascii="Goudy Old Style" w:hAnsi="Goudy Old Style"/>
        <w:sz w:val="24"/>
        <w:szCs w:val="24"/>
      </w:rPr>
    </w:pPr>
  </w:p>
  <w:p w14:paraId="0F74B93D" w14:textId="77777777" w:rsidR="00242EDB" w:rsidRPr="00242EDB" w:rsidRDefault="00242EDB" w:rsidP="00242EDB">
    <w:pPr>
      <w:spacing w:after="0pt" w:line="12pt" w:lineRule="auto"/>
      <w:rPr>
        <w:rFonts w:ascii="Goudy Old Style" w:eastAsia="Goudy Old Style" w:hAnsi="Goudy Old Style" w:cs="Goudy Old Style"/>
      </w:rPr>
    </w:pPr>
  </w:p>
  <w:p w14:paraId="00EBBF7B" w14:textId="77777777" w:rsidR="00242EDB" w:rsidRPr="00242EDB" w:rsidRDefault="00242EDB">
    <w:pPr>
      <w:pStyle w:val="Encabezado"/>
      <w:rPr>
        <w:sz w:val="20"/>
        <w:szCs w:val="20"/>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4CA3F521" w14:textId="215714F9" w:rsidR="0061588F" w:rsidRPr="00601C86" w:rsidRDefault="0061588F" w:rsidP="0061588F">
    <w:pPr>
      <w:tabs>
        <w:tab w:val="center" w:pos="220.95pt"/>
        <w:tab w:val="end" w:pos="441.90pt"/>
      </w:tabs>
      <w:spacing w:after="0pt" w:line="12pt" w:lineRule="auto"/>
      <w:rPr>
        <w:rFonts w:asciiTheme="majorHAnsi" w:eastAsia="Calibri" w:hAnsiTheme="majorHAnsi" w:cs="Times New Roman"/>
        <w:b/>
        <w:color w:val="00B050"/>
      </w:rPr>
    </w:pPr>
    <w:r w:rsidRPr="00601C86">
      <w:rPr>
        <w:rFonts w:asciiTheme="majorHAnsi" w:eastAsia="Calibri" w:hAnsiTheme="majorHAnsi" w:cs="Times New Roman"/>
        <w:b/>
        <w:noProof/>
        <w:color w:val="00B050"/>
        <w:lang w:eastAsia="es-PE"/>
      </w:rPr>
      <w:drawing>
        <wp:anchor distT="0" distB="0" distL="114300" distR="114300" simplePos="0" relativeHeight="251659264" behindDoc="0" locked="0" layoutInCell="1" allowOverlap="1" wp14:anchorId="1A7B3A82" wp14:editId="445BAF9A">
          <wp:simplePos x="0" y="0"/>
          <wp:positionH relativeFrom="margin">
            <wp:posOffset>4993005</wp:posOffset>
          </wp:positionH>
          <wp:positionV relativeFrom="margin">
            <wp:posOffset>-778510</wp:posOffset>
          </wp:positionV>
          <wp:extent cx="1051560" cy="913130"/>
          <wp:effectExtent l="0" t="0" r="0" b="1270"/>
          <wp:wrapSquare wrapText="bothSides"/>
          <wp:docPr id="1056880700" name="Imagen 105688070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6">
      <w:rPr>
        <w:rFonts w:asciiTheme="majorHAnsi" w:eastAsia="Calibri" w:hAnsiTheme="majorHAnsi" w:cs="Times New Roman"/>
        <w:b/>
        <w:color w:val="00B050"/>
      </w:rPr>
      <w:t>Revista Ci</w:t>
    </w:r>
    <w:r w:rsidR="00613C2D" w:rsidRPr="00601C86">
      <w:rPr>
        <w:rFonts w:asciiTheme="majorHAnsi" w:eastAsia="Calibri" w:hAnsiTheme="majorHAnsi" w:cs="Times New Roman"/>
        <w:b/>
        <w:color w:val="00B050"/>
      </w:rPr>
      <w:t>e</w:t>
    </w:r>
    <w:r w:rsidRPr="00601C86">
      <w:rPr>
        <w:rFonts w:asciiTheme="majorHAnsi" w:eastAsia="Calibri" w:hAnsiTheme="majorHAnsi" w:cs="Times New Roman"/>
        <w:b/>
        <w:color w:val="00B050"/>
      </w:rPr>
      <w:t>ncias y Artes 202</w:t>
    </w:r>
    <w:r w:rsidR="005F7C66">
      <w:rPr>
        <w:rFonts w:asciiTheme="majorHAnsi" w:eastAsia="Calibri" w:hAnsiTheme="majorHAnsi" w:cs="Times New Roman"/>
        <w:b/>
        <w:color w:val="00B050"/>
      </w:rPr>
      <w:t>4</w:t>
    </w:r>
    <w:r w:rsidRPr="00601C86">
      <w:rPr>
        <w:rFonts w:asciiTheme="majorHAnsi" w:eastAsia="Calibri" w:hAnsiTheme="majorHAnsi" w:cs="Times New Roman"/>
        <w:b/>
        <w:color w:val="00B050"/>
      </w:rPr>
      <w:t xml:space="preserve">, </w:t>
    </w:r>
    <w:r w:rsidR="005F7C66">
      <w:rPr>
        <w:rFonts w:asciiTheme="majorHAnsi" w:eastAsia="Calibri" w:hAnsiTheme="majorHAnsi" w:cs="Times New Roman"/>
        <w:b/>
        <w:color w:val="00B050"/>
      </w:rPr>
      <w:t>2</w:t>
    </w:r>
    <w:r w:rsidRPr="00601C86">
      <w:rPr>
        <w:rFonts w:asciiTheme="majorHAnsi" w:eastAsia="Calibri" w:hAnsiTheme="majorHAnsi" w:cs="Times New Roman"/>
        <w:b/>
        <w:color w:val="00B050"/>
      </w:rPr>
      <w:t>(</w:t>
    </w:r>
    <w:r w:rsidR="005F7C66">
      <w:rPr>
        <w:rFonts w:asciiTheme="majorHAnsi" w:eastAsia="Calibri" w:hAnsiTheme="majorHAnsi" w:cs="Times New Roman"/>
        <w:b/>
        <w:color w:val="00B050"/>
      </w:rPr>
      <w:t>1</w:t>
    </w:r>
    <w:r w:rsidRPr="00601C86">
      <w:rPr>
        <w:rFonts w:asciiTheme="majorHAnsi" w:eastAsia="Calibri" w:hAnsiTheme="majorHAnsi" w:cs="Times New Roman"/>
        <w:b/>
        <w:color w:val="00B050"/>
      </w:rPr>
      <w:t xml:space="preserve">), </w:t>
    </w:r>
    <w:r w:rsidR="00AB792C">
      <w:rPr>
        <w:rFonts w:asciiTheme="majorHAnsi" w:eastAsia="Calibri" w:hAnsiTheme="majorHAnsi" w:cs="Times New Roman"/>
        <w:b/>
        <w:color w:val="00B050"/>
      </w:rPr>
      <w:t>81</w:t>
    </w:r>
    <w:r w:rsidRPr="00601C86">
      <w:rPr>
        <w:rFonts w:asciiTheme="majorHAnsi" w:eastAsia="Calibri" w:hAnsiTheme="majorHAnsi" w:cs="Times New Roman"/>
        <w:b/>
        <w:color w:val="00B050"/>
      </w:rPr>
      <w:t>-</w:t>
    </w:r>
    <w:r w:rsidR="00AB792C">
      <w:rPr>
        <w:rFonts w:asciiTheme="majorHAnsi" w:eastAsia="Calibri" w:hAnsiTheme="majorHAnsi" w:cs="Times New Roman"/>
        <w:b/>
        <w:color w:val="00B050"/>
      </w:rPr>
      <w:t>117</w:t>
    </w:r>
  </w:p>
  <w:p w14:paraId="30691F96" w14:textId="77777777" w:rsidR="0061588F" w:rsidRDefault="0061588F">
    <w:pPr>
      <w:pStyle w:val="Encabezado"/>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13B1131C" w14:textId="16FEF8FE" w:rsidR="00D51211" w:rsidRPr="00D51211" w:rsidRDefault="00D51211" w:rsidP="00D51211">
    <w:pPr>
      <w:pBdr>
        <w:bottom w:val="single" w:sz="4" w:space="1" w:color="auto"/>
      </w:pBdr>
      <w:spacing w:before="12pt" w:after="12pt"/>
      <w:jc w:val="both"/>
      <w:rPr>
        <w:rFonts w:ascii="Times New Roman" w:eastAsia="Times New Roman" w:hAnsi="Times New Roman" w:cs="Times New Roman"/>
        <w:color w:val="2F5496" w:themeColor="accent1" w:themeShade="BF"/>
        <w:sz w:val="24"/>
        <w:szCs w:val="24"/>
      </w:rPr>
    </w:pPr>
    <w:r w:rsidRPr="00D51211">
      <w:rPr>
        <w:rFonts w:ascii="Times New Roman" w:eastAsia="Times New Roman" w:hAnsi="Times New Roman" w:cs="Times New Roman"/>
        <w:color w:val="2F5496" w:themeColor="accent1" w:themeShade="BF"/>
        <w:sz w:val="24"/>
        <w:szCs w:val="24"/>
      </w:rPr>
      <w:t xml:space="preserve">Marketing Digital en la efectividad de las estrategias de redes sociales en América 2020-2024. </w:t>
    </w:r>
  </w:p>
  <w:p w14:paraId="79F28A19" w14:textId="77777777" w:rsidR="00C728A2" w:rsidRPr="00E07353" w:rsidRDefault="00C728A2" w:rsidP="00C728A2">
    <w:pPr>
      <w:spacing w:after="0pt" w:line="12pt" w:lineRule="auto"/>
      <w:jc w:val="center"/>
      <w:rPr>
        <w:rFonts w:ascii="Goudy Old Style" w:hAnsi="Goudy Old Style"/>
        <w:b/>
        <w:bCs/>
        <w:color w:val="00B050"/>
        <w:sz w:val="24"/>
        <w:szCs w:val="24"/>
      </w:rPr>
    </w:pPr>
  </w:p>
  <w:p w14:paraId="391507A2" w14:textId="77777777" w:rsidR="007055A4" w:rsidRPr="007055A4" w:rsidRDefault="007055A4" w:rsidP="007055A4">
    <w:pPr>
      <w:spacing w:after="0pt" w:line="10.80pt" w:lineRule="auto"/>
      <w:rPr>
        <w:rFonts w:ascii="Palatino Linotype" w:eastAsia="Arial" w:hAnsi="Palatino Linotype" w:cs="Arial"/>
        <w:color w:val="002060"/>
      </w:rPr>
    </w:pPr>
  </w:p>
  <w:p w14:paraId="6A2435F6" w14:textId="761F9ED5" w:rsidR="007055A4" w:rsidRPr="00682EB1" w:rsidRDefault="007055A4" w:rsidP="00682EB1">
    <w:pPr>
      <w:spacing w:line="18pt" w:lineRule="auto"/>
      <w:rPr>
        <w:rFonts w:ascii="Book Antiqua" w:hAnsi="Book Antiqua" w:cs="Times New Roman"/>
        <w:bCs/>
        <w:iCs/>
        <w:color w:val="1F4E79" w:themeColor="accent5" w:themeShade="80"/>
      </w:rPr>
    </w:pPr>
  </w:p>
  <w:p w14:paraId="4E7CA03A" w14:textId="77777777" w:rsidR="00F15273" w:rsidRPr="00242EDB" w:rsidRDefault="00F15273" w:rsidP="00242EDB">
    <w:pPr>
      <w:spacing w:after="0pt" w:line="12pt" w:lineRule="auto"/>
      <w:rPr>
        <w:rFonts w:ascii="Goudy Old Style" w:eastAsia="Goudy Old Style" w:hAnsi="Goudy Old Style" w:cs="Goudy Old Style"/>
      </w:rPr>
    </w:pPr>
  </w:p>
  <w:p w14:paraId="03E9112E" w14:textId="77777777" w:rsidR="00687AAB" w:rsidRPr="00242EDB" w:rsidRDefault="00687AAB">
    <w:pPr>
      <w:pStyle w:val="Encabezado"/>
      <w:rPr>
        <w:sz w:val="20"/>
        <w:szCs w:val="20"/>
      </w:rPr>
    </w:pP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0CCFD54E" w14:textId="35633306" w:rsidR="00D94F47" w:rsidRPr="00D51211" w:rsidRDefault="00D51211" w:rsidP="00D51211">
    <w:pPr>
      <w:pBdr>
        <w:bottom w:val="single" w:sz="4" w:space="1" w:color="auto"/>
      </w:pBdr>
      <w:spacing w:after="0pt" w:line="12pt" w:lineRule="auto"/>
      <w:jc w:val="end"/>
      <w:rPr>
        <w:rFonts w:ascii="Book Antiqua" w:hAnsi="Book Antiqua"/>
        <w:color w:val="2F5496" w:themeColor="accent1" w:themeShade="BF"/>
      </w:rPr>
    </w:pPr>
    <w:r w:rsidRPr="00D51211">
      <w:rPr>
        <w:rFonts w:ascii="Times New Roman" w:eastAsia="Times New Roman" w:hAnsi="Times New Roman" w:cs="Times New Roman"/>
        <w:color w:val="2F5496" w:themeColor="accent1" w:themeShade="BF"/>
      </w:rPr>
      <w:t xml:space="preserve">Diaz </w:t>
    </w:r>
    <w:r>
      <w:rPr>
        <w:rFonts w:ascii="Times New Roman" w:eastAsia="Times New Roman" w:hAnsi="Times New Roman" w:cs="Times New Roman"/>
        <w:color w:val="2F5496" w:themeColor="accent1" w:themeShade="BF"/>
      </w:rPr>
      <w:t>et. al.</w:t>
    </w:r>
  </w:p>
  <w:p w14:paraId="5ECD68CC" w14:textId="77777777" w:rsidR="00D94F47" w:rsidRPr="00D94F47" w:rsidRDefault="00D94F47" w:rsidP="00D94F47">
    <w:pPr>
      <w:spacing w:after="0pt" w:line="12pt" w:lineRule="auto"/>
      <w:jc w:val="end"/>
      <w:rPr>
        <w:rFonts w:ascii="Book Antiqua" w:hAnsi="Book Antiqua"/>
        <w:color w:val="1F4E79" w:themeColor="accent5" w:themeShade="80"/>
      </w:rPr>
    </w:pPr>
  </w:p>
  <w:p w14:paraId="1639BB88" w14:textId="77777777" w:rsidR="00687AAB" w:rsidRPr="00687AAB" w:rsidRDefault="00687AAB" w:rsidP="00687AAB">
    <w:pPr>
      <w:spacing w:after="0pt" w:line="10.80pt" w:lineRule="auto"/>
      <w:ind w:start="1.35pt"/>
      <w:rPr>
        <w:rFonts w:ascii="Goudy Old Style" w:eastAsia="Arial" w:hAnsi="Goudy Old Style" w:cs="Arial"/>
      </w:rPr>
    </w:pPr>
  </w:p>
  <w:p w14:paraId="402778C1" w14:textId="77777777" w:rsidR="00465E4D" w:rsidRDefault="00465E4D" w:rsidP="00687AAB">
    <w:pPr>
      <w:spacing w:after="0pt" w:line="12pt" w:lineRule="auto"/>
      <w:rPr>
        <w:rFonts w:ascii="Goudy Old Style" w:hAnsi="Goudy Old Style"/>
      </w:rPr>
    </w:pPr>
  </w:p>
  <w:p w14:paraId="5C23E1F0" w14:textId="11F23BBF" w:rsidR="008F5375" w:rsidRDefault="008F5375" w:rsidP="008F5375">
    <w:pPr>
      <w:spacing w:after="0pt" w:line="12pt" w:lineRule="auto"/>
      <w:jc w:val="end"/>
      <w:rPr>
        <w:rFonts w:ascii="Goudy Old Style" w:hAnsi="Goudy Old Style"/>
      </w:rPr>
    </w:pPr>
  </w:p>
  <w:p w14:paraId="266E299C" w14:textId="77777777" w:rsidR="00242EDB" w:rsidRDefault="00242EDB" w:rsidP="00242EDB">
    <w:pPr>
      <w:pStyle w:val="Encabezado"/>
      <w:jc w:val="end"/>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072D6A4E"/>
    <w:multiLevelType w:val="hybridMultilevel"/>
    <w:tmpl w:val="5074F8AE"/>
    <w:lvl w:ilvl="0" w:tplc="C464E720">
      <w:start w:val="1"/>
      <w:numFmt w:val="upperRoman"/>
      <w:lvlText w:val="%1."/>
      <w:lvlJc w:val="start"/>
      <w:pPr>
        <w:ind w:start="54pt" w:hanging="36pt"/>
      </w:pPr>
      <w:rPr>
        <w:rFonts w:hint="default"/>
        <w:color w:val="000000"/>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 w15:restartNumberingAfterBreak="0">
    <w:nsid w:val="0AD7165D"/>
    <w:multiLevelType w:val="multilevel"/>
    <w:tmpl w:val="3A5678F8"/>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2" w15:restartNumberingAfterBreak="0">
    <w:nsid w:val="1D493CA3"/>
    <w:multiLevelType w:val="hybridMultilevel"/>
    <w:tmpl w:val="E5D47E94"/>
    <w:lvl w:ilvl="0" w:tplc="7E24AAFA">
      <w:start w:val="1"/>
      <w:numFmt w:val="decimal"/>
      <w:lvlText w:val="%1."/>
      <w:lvlJc w:val="start"/>
      <w:pPr>
        <w:ind w:start="39.9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ECD2E944">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5FBE79E6">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0E6EEC12">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0A166E60">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0382394">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2F82EC14">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5BECDA94">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3466F30">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3" w15:restartNumberingAfterBreak="0">
    <w:nsid w:val="38CC16C8"/>
    <w:multiLevelType w:val="hybridMultilevel"/>
    <w:tmpl w:val="8696CFF6"/>
    <w:lvl w:ilvl="0" w:tplc="71402BF4">
      <w:start w:val="1"/>
      <w:numFmt w:val="decimal"/>
      <w:lvlText w:val="%1."/>
      <w:lvlJc w:val="start"/>
      <w:pPr>
        <w:ind w:start="54pt" w:hanging="18pt"/>
      </w:pPr>
      <w:rPr>
        <w:rFonts w:hint="default"/>
        <w:color w:val="000000"/>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abstractNum w:abstractNumId="4" w15:restartNumberingAfterBreak="0">
    <w:nsid w:val="3AEB7967"/>
    <w:multiLevelType w:val="multilevel"/>
    <w:tmpl w:val="66485874"/>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5" w15:restartNumberingAfterBreak="0">
    <w:nsid w:val="6F8221FA"/>
    <w:multiLevelType w:val="hybridMultilevel"/>
    <w:tmpl w:val="461AEA0A"/>
    <w:lvl w:ilvl="0" w:tplc="270084E6">
      <w:start w:val="1"/>
      <w:numFmt w:val="decimal"/>
      <w:lvlText w:val="%1."/>
      <w:lvlJc w:val="start"/>
      <w:pPr>
        <w:ind w:start="40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0F8E0DD8">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878CA6E8">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7FAC904A">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F01C0DFC">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F560E2A">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C964852C">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4C584288">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F3C88B2">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num w:numId="1" w16cid:durableId="1821386175">
    <w:abstractNumId w:val="5"/>
  </w:num>
  <w:num w:numId="2" w16cid:durableId="1560746783">
    <w:abstractNumId w:val="2"/>
  </w:num>
  <w:num w:numId="3" w16cid:durableId="456684523">
    <w:abstractNumId w:val="0"/>
  </w:num>
  <w:num w:numId="4" w16cid:durableId="395708951">
    <w:abstractNumId w:val="3"/>
  </w:num>
  <w:num w:numId="5" w16cid:durableId="1585144277">
    <w:abstractNumId w:val="1"/>
  </w:num>
  <w:num w:numId="6" w16cid:durableId="1739788748">
    <w:abstractNumId w:val="4"/>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35.40pt"/>
  <w:hyphenationZone w:val="21.25pt"/>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C"/>
    <w:rsid w:val="00001FAA"/>
    <w:rsid w:val="00002FF7"/>
    <w:rsid w:val="00010CEC"/>
    <w:rsid w:val="00017B99"/>
    <w:rsid w:val="00032BA1"/>
    <w:rsid w:val="000367F0"/>
    <w:rsid w:val="00040ECC"/>
    <w:rsid w:val="00041A9C"/>
    <w:rsid w:val="000465E9"/>
    <w:rsid w:val="000474B3"/>
    <w:rsid w:val="00050275"/>
    <w:rsid w:val="000547DB"/>
    <w:rsid w:val="000612B9"/>
    <w:rsid w:val="0006217D"/>
    <w:rsid w:val="000631E7"/>
    <w:rsid w:val="00067570"/>
    <w:rsid w:val="00067A1B"/>
    <w:rsid w:val="00074116"/>
    <w:rsid w:val="00083312"/>
    <w:rsid w:val="000838FE"/>
    <w:rsid w:val="0008645F"/>
    <w:rsid w:val="000904C8"/>
    <w:rsid w:val="00091E0A"/>
    <w:rsid w:val="00094362"/>
    <w:rsid w:val="00095958"/>
    <w:rsid w:val="0009599D"/>
    <w:rsid w:val="0009615A"/>
    <w:rsid w:val="00097532"/>
    <w:rsid w:val="000A1B16"/>
    <w:rsid w:val="000A2616"/>
    <w:rsid w:val="000A3173"/>
    <w:rsid w:val="000B093B"/>
    <w:rsid w:val="000C381A"/>
    <w:rsid w:val="000C657D"/>
    <w:rsid w:val="000F4E46"/>
    <w:rsid w:val="000F5DB8"/>
    <w:rsid w:val="00103025"/>
    <w:rsid w:val="00105D59"/>
    <w:rsid w:val="0010692E"/>
    <w:rsid w:val="00106D60"/>
    <w:rsid w:val="001143BF"/>
    <w:rsid w:val="0013064D"/>
    <w:rsid w:val="0013075E"/>
    <w:rsid w:val="001317F8"/>
    <w:rsid w:val="001333DD"/>
    <w:rsid w:val="00134504"/>
    <w:rsid w:val="00137534"/>
    <w:rsid w:val="001575FB"/>
    <w:rsid w:val="001635F2"/>
    <w:rsid w:val="001637BD"/>
    <w:rsid w:val="0016384C"/>
    <w:rsid w:val="001649CA"/>
    <w:rsid w:val="0017192D"/>
    <w:rsid w:val="00172F70"/>
    <w:rsid w:val="001776AE"/>
    <w:rsid w:val="00181A75"/>
    <w:rsid w:val="00184572"/>
    <w:rsid w:val="001869E4"/>
    <w:rsid w:val="00196EEF"/>
    <w:rsid w:val="001A2569"/>
    <w:rsid w:val="001A353C"/>
    <w:rsid w:val="001B30C7"/>
    <w:rsid w:val="001B77E1"/>
    <w:rsid w:val="001C01D0"/>
    <w:rsid w:val="001C434C"/>
    <w:rsid w:val="001C7A97"/>
    <w:rsid w:val="001D7514"/>
    <w:rsid w:val="001E0A1D"/>
    <w:rsid w:val="001E2AC1"/>
    <w:rsid w:val="001E4F24"/>
    <w:rsid w:val="001E64ED"/>
    <w:rsid w:val="001E77F2"/>
    <w:rsid w:val="001F5700"/>
    <w:rsid w:val="00200AB7"/>
    <w:rsid w:val="00200FFA"/>
    <w:rsid w:val="0020739D"/>
    <w:rsid w:val="00207690"/>
    <w:rsid w:val="00210285"/>
    <w:rsid w:val="002124A3"/>
    <w:rsid w:val="0021490C"/>
    <w:rsid w:val="00225B19"/>
    <w:rsid w:val="00231124"/>
    <w:rsid w:val="00233433"/>
    <w:rsid w:val="002366CA"/>
    <w:rsid w:val="0023716D"/>
    <w:rsid w:val="00237247"/>
    <w:rsid w:val="00242EDB"/>
    <w:rsid w:val="002514ED"/>
    <w:rsid w:val="002539A3"/>
    <w:rsid w:val="002550C6"/>
    <w:rsid w:val="00261797"/>
    <w:rsid w:val="00264399"/>
    <w:rsid w:val="002702A7"/>
    <w:rsid w:val="002724F3"/>
    <w:rsid w:val="0027662A"/>
    <w:rsid w:val="002857B2"/>
    <w:rsid w:val="00287B6E"/>
    <w:rsid w:val="002945C3"/>
    <w:rsid w:val="00294F3F"/>
    <w:rsid w:val="00297CA1"/>
    <w:rsid w:val="002A6317"/>
    <w:rsid w:val="002B0FF2"/>
    <w:rsid w:val="002B34AB"/>
    <w:rsid w:val="002B3831"/>
    <w:rsid w:val="002C4845"/>
    <w:rsid w:val="002D0F44"/>
    <w:rsid w:val="002D428F"/>
    <w:rsid w:val="002D4B83"/>
    <w:rsid w:val="002D75C3"/>
    <w:rsid w:val="002E007B"/>
    <w:rsid w:val="002E1A98"/>
    <w:rsid w:val="002E45D0"/>
    <w:rsid w:val="002E74E7"/>
    <w:rsid w:val="002E7B8E"/>
    <w:rsid w:val="002F4CB1"/>
    <w:rsid w:val="002F4E03"/>
    <w:rsid w:val="002F6B77"/>
    <w:rsid w:val="00300BB1"/>
    <w:rsid w:val="00302A31"/>
    <w:rsid w:val="00304859"/>
    <w:rsid w:val="00304CDD"/>
    <w:rsid w:val="00305E58"/>
    <w:rsid w:val="00310C9D"/>
    <w:rsid w:val="00312C46"/>
    <w:rsid w:val="00313804"/>
    <w:rsid w:val="00314494"/>
    <w:rsid w:val="00315087"/>
    <w:rsid w:val="00326E2C"/>
    <w:rsid w:val="00331539"/>
    <w:rsid w:val="00337163"/>
    <w:rsid w:val="003403FB"/>
    <w:rsid w:val="00346FD9"/>
    <w:rsid w:val="00350299"/>
    <w:rsid w:val="0035677F"/>
    <w:rsid w:val="00367BB4"/>
    <w:rsid w:val="00370847"/>
    <w:rsid w:val="00372C5D"/>
    <w:rsid w:val="00375A6B"/>
    <w:rsid w:val="00381783"/>
    <w:rsid w:val="003828C5"/>
    <w:rsid w:val="00397C57"/>
    <w:rsid w:val="003A2C24"/>
    <w:rsid w:val="003A3BFA"/>
    <w:rsid w:val="003B33D4"/>
    <w:rsid w:val="003B55D7"/>
    <w:rsid w:val="003B6A31"/>
    <w:rsid w:val="003B6A85"/>
    <w:rsid w:val="003B70FD"/>
    <w:rsid w:val="003B7D12"/>
    <w:rsid w:val="003C16C6"/>
    <w:rsid w:val="003C47C6"/>
    <w:rsid w:val="003C7B3A"/>
    <w:rsid w:val="003D2C9F"/>
    <w:rsid w:val="003D5BB4"/>
    <w:rsid w:val="003E332A"/>
    <w:rsid w:val="003E511C"/>
    <w:rsid w:val="003F0B58"/>
    <w:rsid w:val="003F0D4E"/>
    <w:rsid w:val="003F277D"/>
    <w:rsid w:val="003F7A55"/>
    <w:rsid w:val="003F7C56"/>
    <w:rsid w:val="00403351"/>
    <w:rsid w:val="00404510"/>
    <w:rsid w:val="0041333A"/>
    <w:rsid w:val="004147A9"/>
    <w:rsid w:val="00424896"/>
    <w:rsid w:val="00424A56"/>
    <w:rsid w:val="00435C48"/>
    <w:rsid w:val="00443292"/>
    <w:rsid w:val="004447AC"/>
    <w:rsid w:val="0044649C"/>
    <w:rsid w:val="0045100E"/>
    <w:rsid w:val="00452AB7"/>
    <w:rsid w:val="00465E4D"/>
    <w:rsid w:val="00476483"/>
    <w:rsid w:val="00486C51"/>
    <w:rsid w:val="00486C59"/>
    <w:rsid w:val="00487F78"/>
    <w:rsid w:val="00490E05"/>
    <w:rsid w:val="004979F2"/>
    <w:rsid w:val="004A334D"/>
    <w:rsid w:val="004A6CF5"/>
    <w:rsid w:val="004A7687"/>
    <w:rsid w:val="004B0822"/>
    <w:rsid w:val="004B2973"/>
    <w:rsid w:val="004B339D"/>
    <w:rsid w:val="004B6392"/>
    <w:rsid w:val="004C70FE"/>
    <w:rsid w:val="004C7BA5"/>
    <w:rsid w:val="004D0A3E"/>
    <w:rsid w:val="004D3FE8"/>
    <w:rsid w:val="004E163E"/>
    <w:rsid w:val="004E48D7"/>
    <w:rsid w:val="004E6034"/>
    <w:rsid w:val="004F22D6"/>
    <w:rsid w:val="004F4683"/>
    <w:rsid w:val="00502D3D"/>
    <w:rsid w:val="005047F3"/>
    <w:rsid w:val="00505C5E"/>
    <w:rsid w:val="00513DE7"/>
    <w:rsid w:val="00514285"/>
    <w:rsid w:val="00517AF4"/>
    <w:rsid w:val="00520B0A"/>
    <w:rsid w:val="00531173"/>
    <w:rsid w:val="00531495"/>
    <w:rsid w:val="00537B48"/>
    <w:rsid w:val="0055334D"/>
    <w:rsid w:val="005539B0"/>
    <w:rsid w:val="00563C76"/>
    <w:rsid w:val="005653BD"/>
    <w:rsid w:val="005743C7"/>
    <w:rsid w:val="005749E4"/>
    <w:rsid w:val="00584F65"/>
    <w:rsid w:val="00585B65"/>
    <w:rsid w:val="00587599"/>
    <w:rsid w:val="00591326"/>
    <w:rsid w:val="00597F0E"/>
    <w:rsid w:val="005A58E5"/>
    <w:rsid w:val="005A79CE"/>
    <w:rsid w:val="005A7B0F"/>
    <w:rsid w:val="005B1489"/>
    <w:rsid w:val="005B39C0"/>
    <w:rsid w:val="005B4854"/>
    <w:rsid w:val="005C542E"/>
    <w:rsid w:val="005D0587"/>
    <w:rsid w:val="005D32E9"/>
    <w:rsid w:val="005D5DDB"/>
    <w:rsid w:val="005E6F90"/>
    <w:rsid w:val="005F2096"/>
    <w:rsid w:val="005F4368"/>
    <w:rsid w:val="005F6C79"/>
    <w:rsid w:val="005F7298"/>
    <w:rsid w:val="005F7AA4"/>
    <w:rsid w:val="005F7C66"/>
    <w:rsid w:val="00600EBA"/>
    <w:rsid w:val="00601C86"/>
    <w:rsid w:val="00605107"/>
    <w:rsid w:val="006061F3"/>
    <w:rsid w:val="00611230"/>
    <w:rsid w:val="00613C2D"/>
    <w:rsid w:val="0061588F"/>
    <w:rsid w:val="0062096F"/>
    <w:rsid w:val="0062256C"/>
    <w:rsid w:val="00625870"/>
    <w:rsid w:val="006275AA"/>
    <w:rsid w:val="00633FAC"/>
    <w:rsid w:val="00636AB8"/>
    <w:rsid w:val="00640233"/>
    <w:rsid w:val="006418C2"/>
    <w:rsid w:val="00650A95"/>
    <w:rsid w:val="006564B9"/>
    <w:rsid w:val="00660AC1"/>
    <w:rsid w:val="006645D7"/>
    <w:rsid w:val="006652D8"/>
    <w:rsid w:val="006670EC"/>
    <w:rsid w:val="006711E5"/>
    <w:rsid w:val="00674163"/>
    <w:rsid w:val="00677A4D"/>
    <w:rsid w:val="00677D13"/>
    <w:rsid w:val="00681417"/>
    <w:rsid w:val="0068230B"/>
    <w:rsid w:val="00682EB1"/>
    <w:rsid w:val="00685E41"/>
    <w:rsid w:val="006861D7"/>
    <w:rsid w:val="00686C5D"/>
    <w:rsid w:val="00687AAB"/>
    <w:rsid w:val="0069728D"/>
    <w:rsid w:val="0069736F"/>
    <w:rsid w:val="006A40A8"/>
    <w:rsid w:val="006B2B7A"/>
    <w:rsid w:val="006B3146"/>
    <w:rsid w:val="006B3391"/>
    <w:rsid w:val="006B50A0"/>
    <w:rsid w:val="006C3513"/>
    <w:rsid w:val="006C7A84"/>
    <w:rsid w:val="006C7B1A"/>
    <w:rsid w:val="006D1D4D"/>
    <w:rsid w:val="006D26FD"/>
    <w:rsid w:val="006D3C4D"/>
    <w:rsid w:val="006D5C10"/>
    <w:rsid w:val="006E3C73"/>
    <w:rsid w:val="006E5675"/>
    <w:rsid w:val="006F7F64"/>
    <w:rsid w:val="007055A4"/>
    <w:rsid w:val="0071381E"/>
    <w:rsid w:val="00713FE3"/>
    <w:rsid w:val="00722AC3"/>
    <w:rsid w:val="007268FF"/>
    <w:rsid w:val="00731719"/>
    <w:rsid w:val="00735627"/>
    <w:rsid w:val="00741526"/>
    <w:rsid w:val="00742FD7"/>
    <w:rsid w:val="00743910"/>
    <w:rsid w:val="0074401B"/>
    <w:rsid w:val="007456F5"/>
    <w:rsid w:val="00747865"/>
    <w:rsid w:val="00750765"/>
    <w:rsid w:val="00752663"/>
    <w:rsid w:val="007542C2"/>
    <w:rsid w:val="00757584"/>
    <w:rsid w:val="0076146D"/>
    <w:rsid w:val="00761A2D"/>
    <w:rsid w:val="00771CB8"/>
    <w:rsid w:val="00774FA6"/>
    <w:rsid w:val="007811AA"/>
    <w:rsid w:val="00782395"/>
    <w:rsid w:val="00783088"/>
    <w:rsid w:val="00783617"/>
    <w:rsid w:val="00785454"/>
    <w:rsid w:val="007855F1"/>
    <w:rsid w:val="00785681"/>
    <w:rsid w:val="00790F12"/>
    <w:rsid w:val="00792AE6"/>
    <w:rsid w:val="007A01FA"/>
    <w:rsid w:val="007A1CBF"/>
    <w:rsid w:val="007A5F93"/>
    <w:rsid w:val="007B2F31"/>
    <w:rsid w:val="007B3ABB"/>
    <w:rsid w:val="007B7ECD"/>
    <w:rsid w:val="007C194B"/>
    <w:rsid w:val="007C27D5"/>
    <w:rsid w:val="007C3BB9"/>
    <w:rsid w:val="007C570A"/>
    <w:rsid w:val="007C57C4"/>
    <w:rsid w:val="007C5ACD"/>
    <w:rsid w:val="007C7995"/>
    <w:rsid w:val="007D041E"/>
    <w:rsid w:val="007E082F"/>
    <w:rsid w:val="007E26EF"/>
    <w:rsid w:val="007F0F8E"/>
    <w:rsid w:val="007F1E8D"/>
    <w:rsid w:val="007F4186"/>
    <w:rsid w:val="00800F42"/>
    <w:rsid w:val="00802931"/>
    <w:rsid w:val="00803A89"/>
    <w:rsid w:val="008072DE"/>
    <w:rsid w:val="00807CA8"/>
    <w:rsid w:val="00807F69"/>
    <w:rsid w:val="00810045"/>
    <w:rsid w:val="008100F8"/>
    <w:rsid w:val="00810F2A"/>
    <w:rsid w:val="00812D5F"/>
    <w:rsid w:val="008137EB"/>
    <w:rsid w:val="00817319"/>
    <w:rsid w:val="00823AA7"/>
    <w:rsid w:val="00824B09"/>
    <w:rsid w:val="008258E4"/>
    <w:rsid w:val="008264EB"/>
    <w:rsid w:val="00833A28"/>
    <w:rsid w:val="00833FD1"/>
    <w:rsid w:val="008367EC"/>
    <w:rsid w:val="00844902"/>
    <w:rsid w:val="00847F75"/>
    <w:rsid w:val="008554CD"/>
    <w:rsid w:val="0086295F"/>
    <w:rsid w:val="00862F56"/>
    <w:rsid w:val="00864437"/>
    <w:rsid w:val="00867B23"/>
    <w:rsid w:val="008733AA"/>
    <w:rsid w:val="0087689F"/>
    <w:rsid w:val="00882819"/>
    <w:rsid w:val="008848DC"/>
    <w:rsid w:val="00885005"/>
    <w:rsid w:val="00887DF0"/>
    <w:rsid w:val="00891694"/>
    <w:rsid w:val="008966A8"/>
    <w:rsid w:val="008A0F50"/>
    <w:rsid w:val="008A1728"/>
    <w:rsid w:val="008B1730"/>
    <w:rsid w:val="008B380A"/>
    <w:rsid w:val="008C3F2D"/>
    <w:rsid w:val="008D1584"/>
    <w:rsid w:val="008D470B"/>
    <w:rsid w:val="008D7778"/>
    <w:rsid w:val="008E424A"/>
    <w:rsid w:val="008F5375"/>
    <w:rsid w:val="008F564A"/>
    <w:rsid w:val="008F63E8"/>
    <w:rsid w:val="008F6E5A"/>
    <w:rsid w:val="008F70D2"/>
    <w:rsid w:val="00901C80"/>
    <w:rsid w:val="00901D1C"/>
    <w:rsid w:val="00917828"/>
    <w:rsid w:val="00917E7F"/>
    <w:rsid w:val="009265AA"/>
    <w:rsid w:val="00927301"/>
    <w:rsid w:val="00931C09"/>
    <w:rsid w:val="00931FCC"/>
    <w:rsid w:val="00941D05"/>
    <w:rsid w:val="0094377A"/>
    <w:rsid w:val="00945752"/>
    <w:rsid w:val="00951AA8"/>
    <w:rsid w:val="00953520"/>
    <w:rsid w:val="00953956"/>
    <w:rsid w:val="00957C30"/>
    <w:rsid w:val="009611CC"/>
    <w:rsid w:val="00962711"/>
    <w:rsid w:val="0096338E"/>
    <w:rsid w:val="00963986"/>
    <w:rsid w:val="00973735"/>
    <w:rsid w:val="009808D1"/>
    <w:rsid w:val="00981BE4"/>
    <w:rsid w:val="009841E3"/>
    <w:rsid w:val="00984F84"/>
    <w:rsid w:val="00992AAE"/>
    <w:rsid w:val="009A390C"/>
    <w:rsid w:val="009B000F"/>
    <w:rsid w:val="009B6BCC"/>
    <w:rsid w:val="009C0D02"/>
    <w:rsid w:val="009C0E23"/>
    <w:rsid w:val="009C3DD0"/>
    <w:rsid w:val="009D2A3E"/>
    <w:rsid w:val="009D3DA3"/>
    <w:rsid w:val="009D5B1D"/>
    <w:rsid w:val="009E2526"/>
    <w:rsid w:val="009E4A7A"/>
    <w:rsid w:val="009F457E"/>
    <w:rsid w:val="00A02C35"/>
    <w:rsid w:val="00A0624D"/>
    <w:rsid w:val="00A13D65"/>
    <w:rsid w:val="00A13D67"/>
    <w:rsid w:val="00A32761"/>
    <w:rsid w:val="00A3684F"/>
    <w:rsid w:val="00A371C2"/>
    <w:rsid w:val="00A45A1D"/>
    <w:rsid w:val="00A51570"/>
    <w:rsid w:val="00A5249E"/>
    <w:rsid w:val="00A53845"/>
    <w:rsid w:val="00A53F0E"/>
    <w:rsid w:val="00A6052E"/>
    <w:rsid w:val="00A60901"/>
    <w:rsid w:val="00A6317C"/>
    <w:rsid w:val="00A638DD"/>
    <w:rsid w:val="00A64E22"/>
    <w:rsid w:val="00A7061B"/>
    <w:rsid w:val="00A73477"/>
    <w:rsid w:val="00A73C66"/>
    <w:rsid w:val="00A73FE8"/>
    <w:rsid w:val="00A74463"/>
    <w:rsid w:val="00A86DE7"/>
    <w:rsid w:val="00A87115"/>
    <w:rsid w:val="00A87701"/>
    <w:rsid w:val="00A907B9"/>
    <w:rsid w:val="00A91C7E"/>
    <w:rsid w:val="00AA1112"/>
    <w:rsid w:val="00AA380F"/>
    <w:rsid w:val="00AA43E8"/>
    <w:rsid w:val="00AB792C"/>
    <w:rsid w:val="00AC2BE5"/>
    <w:rsid w:val="00AC302B"/>
    <w:rsid w:val="00AC3AA4"/>
    <w:rsid w:val="00AC4ACE"/>
    <w:rsid w:val="00AC4C14"/>
    <w:rsid w:val="00AC5B6C"/>
    <w:rsid w:val="00AD378D"/>
    <w:rsid w:val="00AD784D"/>
    <w:rsid w:val="00AD79BF"/>
    <w:rsid w:val="00AE35BA"/>
    <w:rsid w:val="00AE7D81"/>
    <w:rsid w:val="00AF243F"/>
    <w:rsid w:val="00B019E5"/>
    <w:rsid w:val="00B16627"/>
    <w:rsid w:val="00B1718B"/>
    <w:rsid w:val="00B20345"/>
    <w:rsid w:val="00B230F3"/>
    <w:rsid w:val="00B3089F"/>
    <w:rsid w:val="00B319F5"/>
    <w:rsid w:val="00B3201A"/>
    <w:rsid w:val="00B32E12"/>
    <w:rsid w:val="00B4245E"/>
    <w:rsid w:val="00B47DE7"/>
    <w:rsid w:val="00B50015"/>
    <w:rsid w:val="00B51038"/>
    <w:rsid w:val="00B65671"/>
    <w:rsid w:val="00B6645C"/>
    <w:rsid w:val="00B8327A"/>
    <w:rsid w:val="00B95E8A"/>
    <w:rsid w:val="00B95F94"/>
    <w:rsid w:val="00BA1FB5"/>
    <w:rsid w:val="00BB25C8"/>
    <w:rsid w:val="00BB4EBC"/>
    <w:rsid w:val="00BB6B90"/>
    <w:rsid w:val="00BD6F6A"/>
    <w:rsid w:val="00BE5225"/>
    <w:rsid w:val="00BE5C12"/>
    <w:rsid w:val="00BF49C8"/>
    <w:rsid w:val="00C0398D"/>
    <w:rsid w:val="00C139A9"/>
    <w:rsid w:val="00C15D9D"/>
    <w:rsid w:val="00C30E52"/>
    <w:rsid w:val="00C31CC5"/>
    <w:rsid w:val="00C32147"/>
    <w:rsid w:val="00C41770"/>
    <w:rsid w:val="00C45EA0"/>
    <w:rsid w:val="00C47A6E"/>
    <w:rsid w:val="00C50D09"/>
    <w:rsid w:val="00C616C4"/>
    <w:rsid w:val="00C6437E"/>
    <w:rsid w:val="00C65C25"/>
    <w:rsid w:val="00C676BD"/>
    <w:rsid w:val="00C728A2"/>
    <w:rsid w:val="00C81BD8"/>
    <w:rsid w:val="00C83591"/>
    <w:rsid w:val="00C843ED"/>
    <w:rsid w:val="00C8540A"/>
    <w:rsid w:val="00C90A0D"/>
    <w:rsid w:val="00C979D3"/>
    <w:rsid w:val="00CA4998"/>
    <w:rsid w:val="00CA59E7"/>
    <w:rsid w:val="00CB0412"/>
    <w:rsid w:val="00CB0EB6"/>
    <w:rsid w:val="00CB29AC"/>
    <w:rsid w:val="00CB43E5"/>
    <w:rsid w:val="00CB4894"/>
    <w:rsid w:val="00CC08A4"/>
    <w:rsid w:val="00CC0AD9"/>
    <w:rsid w:val="00CC7C7A"/>
    <w:rsid w:val="00CD1DCE"/>
    <w:rsid w:val="00CD31C4"/>
    <w:rsid w:val="00CD67F0"/>
    <w:rsid w:val="00CE3E2D"/>
    <w:rsid w:val="00CE5659"/>
    <w:rsid w:val="00CF2466"/>
    <w:rsid w:val="00CF34C9"/>
    <w:rsid w:val="00CF7F4A"/>
    <w:rsid w:val="00D10002"/>
    <w:rsid w:val="00D12CE1"/>
    <w:rsid w:val="00D12F47"/>
    <w:rsid w:val="00D12F92"/>
    <w:rsid w:val="00D14C6A"/>
    <w:rsid w:val="00D50756"/>
    <w:rsid w:val="00D51211"/>
    <w:rsid w:val="00D56B46"/>
    <w:rsid w:val="00D573EA"/>
    <w:rsid w:val="00D60D7B"/>
    <w:rsid w:val="00D62B1B"/>
    <w:rsid w:val="00D67259"/>
    <w:rsid w:val="00D80E14"/>
    <w:rsid w:val="00D90DE7"/>
    <w:rsid w:val="00D940B0"/>
    <w:rsid w:val="00D94F47"/>
    <w:rsid w:val="00DA67D5"/>
    <w:rsid w:val="00DA7797"/>
    <w:rsid w:val="00DB5454"/>
    <w:rsid w:val="00DB5A67"/>
    <w:rsid w:val="00DB6404"/>
    <w:rsid w:val="00DC075E"/>
    <w:rsid w:val="00DC0A03"/>
    <w:rsid w:val="00DC0F33"/>
    <w:rsid w:val="00DC1395"/>
    <w:rsid w:val="00DC2799"/>
    <w:rsid w:val="00DC3302"/>
    <w:rsid w:val="00DC6928"/>
    <w:rsid w:val="00DD024F"/>
    <w:rsid w:val="00DD035F"/>
    <w:rsid w:val="00DD1D37"/>
    <w:rsid w:val="00DD5BFD"/>
    <w:rsid w:val="00DD7467"/>
    <w:rsid w:val="00DD781B"/>
    <w:rsid w:val="00DF3312"/>
    <w:rsid w:val="00DF517F"/>
    <w:rsid w:val="00E01D65"/>
    <w:rsid w:val="00E023C8"/>
    <w:rsid w:val="00E03A9D"/>
    <w:rsid w:val="00E07353"/>
    <w:rsid w:val="00E12A04"/>
    <w:rsid w:val="00E162E5"/>
    <w:rsid w:val="00E21A2D"/>
    <w:rsid w:val="00E3045A"/>
    <w:rsid w:val="00E32E96"/>
    <w:rsid w:val="00E3382D"/>
    <w:rsid w:val="00E37511"/>
    <w:rsid w:val="00E4776E"/>
    <w:rsid w:val="00E57B13"/>
    <w:rsid w:val="00E61883"/>
    <w:rsid w:val="00E62792"/>
    <w:rsid w:val="00E64F64"/>
    <w:rsid w:val="00E71ACE"/>
    <w:rsid w:val="00E73DC6"/>
    <w:rsid w:val="00E74A81"/>
    <w:rsid w:val="00E754DD"/>
    <w:rsid w:val="00E81D13"/>
    <w:rsid w:val="00E8378D"/>
    <w:rsid w:val="00E83F79"/>
    <w:rsid w:val="00E85536"/>
    <w:rsid w:val="00E8564D"/>
    <w:rsid w:val="00E91CC8"/>
    <w:rsid w:val="00E92CF7"/>
    <w:rsid w:val="00E938E5"/>
    <w:rsid w:val="00EA2DA5"/>
    <w:rsid w:val="00EB6264"/>
    <w:rsid w:val="00EB665F"/>
    <w:rsid w:val="00EC0AAC"/>
    <w:rsid w:val="00ED0192"/>
    <w:rsid w:val="00ED5A20"/>
    <w:rsid w:val="00ED7A7F"/>
    <w:rsid w:val="00EE304F"/>
    <w:rsid w:val="00EE7AB0"/>
    <w:rsid w:val="00EF191B"/>
    <w:rsid w:val="00EF69CA"/>
    <w:rsid w:val="00EF7EFD"/>
    <w:rsid w:val="00EF7FBA"/>
    <w:rsid w:val="00F15273"/>
    <w:rsid w:val="00F23D34"/>
    <w:rsid w:val="00F319DA"/>
    <w:rsid w:val="00F32720"/>
    <w:rsid w:val="00F3425F"/>
    <w:rsid w:val="00F351DB"/>
    <w:rsid w:val="00F36FBF"/>
    <w:rsid w:val="00F372B4"/>
    <w:rsid w:val="00F43E8E"/>
    <w:rsid w:val="00F51915"/>
    <w:rsid w:val="00F51B1D"/>
    <w:rsid w:val="00F57244"/>
    <w:rsid w:val="00F6303A"/>
    <w:rsid w:val="00F641E8"/>
    <w:rsid w:val="00F66089"/>
    <w:rsid w:val="00F67AE9"/>
    <w:rsid w:val="00F77068"/>
    <w:rsid w:val="00F80BB2"/>
    <w:rsid w:val="00F82021"/>
    <w:rsid w:val="00F84A17"/>
    <w:rsid w:val="00F964CB"/>
    <w:rsid w:val="00FA5078"/>
    <w:rsid w:val="00FB0475"/>
    <w:rsid w:val="00FB3D6E"/>
    <w:rsid w:val="00FB494E"/>
    <w:rsid w:val="00FB4FDA"/>
    <w:rsid w:val="00FC3A4A"/>
    <w:rsid w:val="00FC5A09"/>
    <w:rsid w:val="00FD3EE8"/>
    <w:rsid w:val="00FD5C5B"/>
    <w:rsid w:val="00FD68FC"/>
    <w:rsid w:val="00FD7703"/>
    <w:rsid w:val="00FD7A27"/>
    <w:rsid w:val="00FE0A51"/>
    <w:rsid w:val="00FE127F"/>
    <w:rsid w:val="00FE3C66"/>
    <w:rsid w:val="00FF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35074F"/>
  <w15:docId w15:val="{8D1C8366-70A2-4DB9-8C05-E8D68D7BAD8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D1C"/>
    <w:pPr>
      <w:spacing w:line="12.80pt" w:lineRule="auto"/>
    </w:pPr>
    <w:rPr>
      <w:lang w:val="es-PE"/>
    </w:rPr>
  </w:style>
  <w:style w:type="paragraph" w:styleId="Ttulo1">
    <w:name w:val="heading 1"/>
    <w:basedOn w:val="Normal"/>
    <w:link w:val="Ttulo1Car"/>
    <w:uiPriority w:val="9"/>
    <w:qFormat/>
    <w:rsid w:val="007A5F93"/>
    <w:pPr>
      <w:spacing w:before="5pt" w:beforeAutospacing="1" w:after="5pt" w:afterAutospacing="1" w:line="12pt"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semiHidden/>
    <w:unhideWhenUsed/>
    <w:qFormat/>
    <w:rsid w:val="00A45A1D"/>
    <w:pPr>
      <w:keepNext/>
      <w:keepLines/>
      <w:spacing w:before="2pt" w:after="0pt"/>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01D1C"/>
    <w:pPr>
      <w:spacing w:after="0pt" w:line="12pt" w:lineRule="auto"/>
    </w:pPr>
    <w:rPr>
      <w:sz w:val="20"/>
      <w:szCs w:val="20"/>
    </w:rPr>
  </w:style>
  <w:style w:type="character" w:customStyle="1" w:styleId="TextonotapieCar">
    <w:name w:val="Texto nota pie Car"/>
    <w:basedOn w:val="Fuentedeprrafopredeter"/>
    <w:link w:val="Textonotapie"/>
    <w:uiPriority w:val="99"/>
    <w:semiHidden/>
    <w:rsid w:val="00901D1C"/>
    <w:rPr>
      <w:sz w:val="20"/>
      <w:szCs w:val="20"/>
    </w:rPr>
  </w:style>
  <w:style w:type="character" w:styleId="Refdenotaalpie">
    <w:name w:val="footnote reference"/>
    <w:basedOn w:val="Fuentedeprrafopredeter"/>
    <w:uiPriority w:val="99"/>
    <w:semiHidden/>
    <w:unhideWhenUsed/>
    <w:rsid w:val="00901D1C"/>
    <w:rPr>
      <w:vertAlign w:val="superscript"/>
    </w:rPr>
  </w:style>
  <w:style w:type="paragraph" w:styleId="Encabezado">
    <w:name w:val="header"/>
    <w:basedOn w:val="Normal"/>
    <w:link w:val="EncabezadoCar"/>
    <w:uiPriority w:val="99"/>
    <w:unhideWhenUsed/>
    <w:rsid w:val="00891694"/>
    <w:pPr>
      <w:tabs>
        <w:tab w:val="center" w:pos="212.60pt"/>
        <w:tab w:val="end" w:pos="425.20pt"/>
      </w:tabs>
      <w:spacing w:after="0pt" w:line="12pt" w:lineRule="auto"/>
    </w:pPr>
  </w:style>
  <w:style w:type="character" w:customStyle="1" w:styleId="EncabezadoCar">
    <w:name w:val="Encabezado Car"/>
    <w:basedOn w:val="Fuentedeprrafopredeter"/>
    <w:link w:val="Encabezado"/>
    <w:uiPriority w:val="99"/>
    <w:rsid w:val="00891694"/>
  </w:style>
  <w:style w:type="paragraph" w:styleId="Piedepgina">
    <w:name w:val="footer"/>
    <w:basedOn w:val="Normal"/>
    <w:link w:val="PiedepginaCar"/>
    <w:uiPriority w:val="99"/>
    <w:unhideWhenUsed/>
    <w:rsid w:val="00891694"/>
    <w:pPr>
      <w:tabs>
        <w:tab w:val="center" w:pos="212.60pt"/>
        <w:tab w:val="end" w:pos="425.20pt"/>
      </w:tabs>
      <w:spacing w:after="0pt" w:line="12pt" w:lineRule="auto"/>
    </w:pPr>
  </w:style>
  <w:style w:type="character" w:customStyle="1" w:styleId="PiedepginaCar">
    <w:name w:val="Pie de página Car"/>
    <w:basedOn w:val="Fuentedeprrafopredeter"/>
    <w:link w:val="Piedepgina"/>
    <w:uiPriority w:val="99"/>
    <w:rsid w:val="00891694"/>
  </w:style>
  <w:style w:type="paragraph" w:styleId="Textodeglobo">
    <w:name w:val="Balloon Text"/>
    <w:basedOn w:val="Normal"/>
    <w:link w:val="TextodegloboCar"/>
    <w:uiPriority w:val="99"/>
    <w:semiHidden/>
    <w:unhideWhenUsed/>
    <w:rsid w:val="00FB3D6E"/>
    <w:pPr>
      <w:spacing w:after="0pt" w:line="12pt"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3D6E"/>
    <w:rPr>
      <w:rFonts w:ascii="Segoe UI" w:hAnsi="Segoe UI" w:cs="Segoe UI"/>
      <w:sz w:val="18"/>
      <w:szCs w:val="18"/>
    </w:rPr>
  </w:style>
  <w:style w:type="character" w:styleId="Refdecomentario">
    <w:name w:val="annotation reference"/>
    <w:basedOn w:val="Fuentedeprrafopredeter"/>
    <w:uiPriority w:val="99"/>
    <w:semiHidden/>
    <w:unhideWhenUsed/>
    <w:rsid w:val="003403FB"/>
    <w:rPr>
      <w:sz w:val="16"/>
      <w:szCs w:val="16"/>
    </w:rPr>
  </w:style>
  <w:style w:type="paragraph" w:styleId="Textocomentario">
    <w:name w:val="annotation text"/>
    <w:basedOn w:val="Normal"/>
    <w:link w:val="TextocomentarioCar"/>
    <w:uiPriority w:val="99"/>
    <w:semiHidden/>
    <w:unhideWhenUsed/>
    <w:rsid w:val="003403FB"/>
    <w:pPr>
      <w:spacing w:line="12pt" w:lineRule="auto"/>
    </w:pPr>
    <w:rPr>
      <w:sz w:val="20"/>
      <w:szCs w:val="20"/>
    </w:rPr>
  </w:style>
  <w:style w:type="character" w:customStyle="1" w:styleId="TextocomentarioCar">
    <w:name w:val="Texto comentario Car"/>
    <w:basedOn w:val="Fuentedeprrafopredeter"/>
    <w:link w:val="Textocomentario"/>
    <w:uiPriority w:val="99"/>
    <w:semiHidden/>
    <w:rsid w:val="003403FB"/>
    <w:rPr>
      <w:sz w:val="20"/>
      <w:szCs w:val="20"/>
    </w:rPr>
  </w:style>
  <w:style w:type="paragraph" w:styleId="Asuntodelcomentario">
    <w:name w:val="annotation subject"/>
    <w:basedOn w:val="Textocomentario"/>
    <w:next w:val="Textocomentario"/>
    <w:link w:val="AsuntodelcomentarioCar"/>
    <w:uiPriority w:val="99"/>
    <w:semiHidden/>
    <w:unhideWhenUsed/>
    <w:rsid w:val="003403FB"/>
    <w:rPr>
      <w:b/>
      <w:bCs/>
    </w:rPr>
  </w:style>
  <w:style w:type="character" w:customStyle="1" w:styleId="AsuntodelcomentarioCar">
    <w:name w:val="Asunto del comentario Car"/>
    <w:basedOn w:val="TextocomentarioCar"/>
    <w:link w:val="Asuntodelcomentario"/>
    <w:uiPriority w:val="99"/>
    <w:semiHidden/>
    <w:rsid w:val="003403FB"/>
    <w:rPr>
      <w:b/>
      <w:bCs/>
      <w:sz w:val="20"/>
      <w:szCs w:val="20"/>
    </w:rPr>
  </w:style>
  <w:style w:type="character" w:styleId="nfasis">
    <w:name w:val="Emphasis"/>
    <w:basedOn w:val="Fuentedeprrafopredeter"/>
    <w:uiPriority w:val="20"/>
    <w:qFormat/>
    <w:rsid w:val="007D041E"/>
    <w:rPr>
      <w:i/>
      <w:iCs/>
    </w:rPr>
  </w:style>
  <w:style w:type="character" w:customStyle="1" w:styleId="Ttulo1Car">
    <w:name w:val="Título 1 Car"/>
    <w:basedOn w:val="Fuentedeprrafopredeter"/>
    <w:link w:val="Ttulo1"/>
    <w:uiPriority w:val="9"/>
    <w:rsid w:val="007A5F93"/>
    <w:rPr>
      <w:rFonts w:ascii="Times New Roman" w:eastAsia="Times New Roman" w:hAnsi="Times New Roman" w:cs="Times New Roman"/>
      <w:b/>
      <w:bCs/>
      <w:kern w:val="36"/>
      <w:sz w:val="48"/>
      <w:szCs w:val="48"/>
      <w:lang w:val="es-PE" w:eastAsia="es-PE"/>
    </w:rPr>
  </w:style>
  <w:style w:type="character" w:styleId="Hipervnculo">
    <w:name w:val="Hyperlink"/>
    <w:basedOn w:val="Fuentedeprrafopredeter"/>
    <w:uiPriority w:val="99"/>
    <w:unhideWhenUsed/>
    <w:rsid w:val="008E424A"/>
    <w:rPr>
      <w:color w:val="0563C1" w:themeColor="hyperlink"/>
      <w:u w:val="single"/>
    </w:rPr>
  </w:style>
  <w:style w:type="character" w:styleId="Mencinsinresolver">
    <w:name w:val="Unresolved Mention"/>
    <w:basedOn w:val="Fuentedeprrafopredeter"/>
    <w:uiPriority w:val="99"/>
    <w:semiHidden/>
    <w:unhideWhenUsed/>
    <w:rsid w:val="008E424A"/>
    <w:rPr>
      <w:color w:val="605E5C"/>
      <w:shd w:val="clear" w:color="auto" w:fill="E1DFDD"/>
    </w:rPr>
  </w:style>
  <w:style w:type="character" w:styleId="Hipervnculovisitado">
    <w:name w:val="FollowedHyperlink"/>
    <w:basedOn w:val="Fuentedeprrafopredeter"/>
    <w:uiPriority w:val="99"/>
    <w:semiHidden/>
    <w:unhideWhenUsed/>
    <w:rsid w:val="00FC5A09"/>
    <w:rPr>
      <w:color w:val="954F72" w:themeColor="followedHyperlink"/>
      <w:u w:val="single"/>
    </w:rPr>
  </w:style>
  <w:style w:type="character" w:customStyle="1" w:styleId="Ttulo2Car">
    <w:name w:val="Título 2 Car"/>
    <w:basedOn w:val="Fuentedeprrafopredeter"/>
    <w:link w:val="Ttulo2"/>
    <w:uiPriority w:val="9"/>
    <w:semiHidden/>
    <w:rsid w:val="00A45A1D"/>
    <w:rPr>
      <w:rFonts w:asciiTheme="majorHAnsi" w:eastAsiaTheme="majorEastAsia" w:hAnsiTheme="majorHAnsi" w:cstheme="majorBidi"/>
      <w:color w:val="2F5496" w:themeColor="accent1" w:themeShade="BF"/>
      <w:sz w:val="26"/>
      <w:szCs w:val="26"/>
      <w:lang w:val="es-PE"/>
    </w:rPr>
  </w:style>
  <w:style w:type="table" w:customStyle="1" w:styleId="TableGrid">
    <w:name w:val="TableGrid"/>
    <w:rsid w:val="00A45A1D"/>
    <w:pPr>
      <w:spacing w:after="0pt" w:line="12pt" w:lineRule="auto"/>
    </w:pPr>
    <w:rPr>
      <w:rFonts w:eastAsiaTheme="minorEastAsia"/>
      <w:lang w:val="es-PE" w:eastAsia="es-PE"/>
    </w:rPr>
    <w:tblPr>
      <w:tblCellMar>
        <w:top w:w="0pt" w:type="dxa"/>
        <w:start w:w="0pt" w:type="dxa"/>
        <w:bottom w:w="0pt" w:type="dxa"/>
        <w:end w:w="0pt" w:type="dxa"/>
      </w:tblCellMar>
    </w:tblPr>
  </w:style>
  <w:style w:type="paragraph" w:styleId="Prrafodelista">
    <w:name w:val="List Paragraph"/>
    <w:basedOn w:val="Normal"/>
    <w:uiPriority w:val="34"/>
    <w:qFormat/>
    <w:rsid w:val="00847F75"/>
    <w:pPr>
      <w:spacing w:line="12.95pt" w:lineRule="auto"/>
      <w:ind w:start="36pt"/>
      <w:contextualSpacing/>
    </w:pPr>
    <w:rPr>
      <w:kern w:val="2"/>
      <w14:ligatures w14:val="standardContextual"/>
    </w:rPr>
  </w:style>
  <w:style w:type="table" w:styleId="Tablaconcuadrcula">
    <w:name w:val="Table Grid"/>
    <w:basedOn w:val="Tablanormal"/>
    <w:uiPriority w:val="39"/>
    <w:rsid w:val="00847F75"/>
    <w:pPr>
      <w:spacing w:after="0pt" w:line="12pt" w:lineRule="auto"/>
    </w:pPr>
    <w:rPr>
      <w:kern w:val="2"/>
      <w:lang w:val="en-US"/>
      <w14:ligatures w14:val="standardContextual"/>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893486">
      <w:bodyDiv w:val="1"/>
      <w:marLeft w:val="0pt"/>
      <w:marRight w:val="0pt"/>
      <w:marTop w:val="0pt"/>
      <w:marBottom w:val="0pt"/>
      <w:divBdr>
        <w:top w:val="none" w:sz="0" w:space="0" w:color="auto"/>
        <w:left w:val="none" w:sz="0" w:space="0" w:color="auto"/>
        <w:bottom w:val="none" w:sz="0" w:space="0" w:color="auto"/>
        <w:right w:val="none" w:sz="0" w:space="0" w:color="auto"/>
      </w:divBdr>
    </w:div>
    <w:div w:id="920791681">
      <w:bodyDiv w:val="1"/>
      <w:marLeft w:val="0pt"/>
      <w:marRight w:val="0pt"/>
      <w:marTop w:val="0pt"/>
      <w:marBottom w:val="0pt"/>
      <w:divBdr>
        <w:top w:val="none" w:sz="0" w:space="0" w:color="auto"/>
        <w:left w:val="none" w:sz="0" w:space="0" w:color="auto"/>
        <w:bottom w:val="none" w:sz="0" w:space="0" w:color="auto"/>
        <w:right w:val="none" w:sz="0" w:space="0" w:color="auto"/>
      </w:divBdr>
    </w:div>
    <w:div w:id="100304941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purl.oclc.org/ooxml/officeDocument/relationships/image" Target="media/image4.png"/><Relationship Id="rId21" Type="http://purl.oclc.org/ooxml/officeDocument/relationships/hyperlink" Target="https://orcid.org/0009-0005-6677-0440" TargetMode="External"/><Relationship Id="rId34" Type="http://purl.oclc.org/ooxml/officeDocument/relationships/hyperlink" Target="https://doi.org/10.1080/23311975.2023.2285037" TargetMode="External"/><Relationship Id="rId42" Type="http://purl.oclc.org/ooxml/officeDocument/relationships/hyperlink" Target="http://scielo.sld.cu/scielo.php?script=sci_arttext&amp;pid=S2218-36202015000100004&amp;lng=es&amp;tlng=es" TargetMode="External"/><Relationship Id="rId47" Type="http://purl.oclc.org/ooxml/officeDocument/relationships/hyperlink" Target="https://doi.org/10.1080/08841241.2022.2034201" TargetMode="External"/><Relationship Id="rId50" Type="http://purl.oclc.org/ooxml/officeDocument/relationships/hyperlink" Target="https://doi.org/10.1016/j.indmarman.2021.01.002" TargetMode="External"/><Relationship Id="rId55" Type="http://purl.oclc.org/ooxml/officeDocument/relationships/hyperlink" Target="https://doi.org/10.1016/j.ijresmar.2021.10.008" TargetMode="External"/><Relationship Id="rId63" Type="http://purl.oclc.org/ooxml/officeDocument/relationships/header" Target="header3.xml"/><Relationship Id="rId7" Type="http://purl.oclc.org/ooxml/officeDocument/relationships/endnotes" Target="endnotes.xml"/><Relationship Id="rId2" Type="http://purl.oclc.org/ooxml/officeDocument/relationships/numbering" Target="numbering.xml"/><Relationship Id="rId16" Type="http://purl.oclc.org/ooxml/officeDocument/relationships/hyperlink" Target="mailto:josue.rojas0118@gmail.com" TargetMode="External"/><Relationship Id="rId29" Type="http://purl.oclc.org/ooxml/officeDocument/relationships/hyperlink" Target="https://doi.org/10.1016/j.ijresmar.2021.09.010" TargetMode="External"/><Relationship Id="rId11" Type="http://purl.oclc.org/ooxml/officeDocument/relationships/footer" Target="footer1.xml"/><Relationship Id="rId24" Type="http://purl.oclc.org/ooxml/officeDocument/relationships/hyperlink" Target="https://orcid.org/0009-0005-7606-1939" TargetMode="External"/><Relationship Id="rId32" Type="http://purl.oclc.org/ooxml/officeDocument/relationships/hyperlink" Target="https://doi.org/10.1177/00222429231152880" TargetMode="External"/><Relationship Id="rId37" Type="http://purl.oclc.org/ooxml/officeDocument/relationships/hyperlink" Target="https://doi.org/10.1016/j.ijinfomgt.2020.102168" TargetMode="External"/><Relationship Id="rId40" Type="http://purl.oclc.org/ooxml/officeDocument/relationships/hyperlink" Target="https://doi.org/10.1016/j.jbusres.2021.08.026" TargetMode="External"/><Relationship Id="rId45" Type="http://purl.oclc.org/ooxml/officeDocument/relationships/hyperlink" Target="https://doi.org/10.1177/00222429221119977" TargetMode="External"/><Relationship Id="rId53" Type="http://purl.oclc.org/ooxml/officeDocument/relationships/hyperlink" Target="https://doi.org/10.1093/heapro/daac133" TargetMode="External"/><Relationship Id="rId58" Type="http://purl.oclc.org/ooxml/officeDocument/relationships/hyperlink" Target="https://doi.org/10.1016/j.indmarman.2020.12.013" TargetMode="External"/><Relationship Id="rId66" Type="http://purl.oclc.org/ooxml/officeDocument/relationships/theme" Target="theme/theme1.xml"/><Relationship Id="rId5" Type="http://purl.oclc.org/ooxml/officeDocument/relationships/webSettings" Target="webSettings.xml"/><Relationship Id="rId61" Type="http://purl.oclc.org/ooxml/officeDocument/relationships/hyperlink" Target="https://doi.org/10.1177/1069031x19897044" TargetMode="External"/><Relationship Id="rId19" Type="http://purl.oclc.org/ooxml/officeDocument/relationships/hyperlink" Target="mailto:vanesa.sg2000@gmail.com" TargetMode="External"/><Relationship Id="rId14" Type="http://purl.oclc.org/ooxml/officeDocument/relationships/hyperlink" Target="https://orcid.org/0009-0008-3160-5391" TargetMode="External"/><Relationship Id="rId22" Type="http://purl.oclc.org/ooxml/officeDocument/relationships/hyperlink" Target="mailto:luisvasquez.lavn@gmail.com" TargetMode="External"/><Relationship Id="rId27" Type="http://purl.oclc.org/ooxml/officeDocument/relationships/image" Target="media/image5.png"/><Relationship Id="rId30" Type="http://purl.oclc.org/ooxml/officeDocument/relationships/hyperlink" Target="https://doi.org/10.1007/s11747-019-00695-1" TargetMode="External"/><Relationship Id="rId35" Type="http://purl.oclc.org/ooxml/officeDocument/relationships/hyperlink" Target="https://doi.org/10.1016/j.indmarman.2021.10.006" TargetMode="External"/><Relationship Id="rId43" Type="http://purl.oclc.org/ooxml/officeDocument/relationships/hyperlink" Target="https://doi.org/10.1177/00222437211037258" TargetMode="External"/><Relationship Id="rId48" Type="http://purl.oclc.org/ooxml/officeDocument/relationships/hyperlink" Target="https://doi.org/10.1108/jbim-01-2022-0056" TargetMode="External"/><Relationship Id="rId56" Type="http://purl.oclc.org/ooxml/officeDocument/relationships/hyperlink" Target="https://doi.org/10.1016/j.bushor.2020.12.004" TargetMode="External"/><Relationship Id="rId64" Type="http://purl.oclc.org/ooxml/officeDocument/relationships/header" Target="header4.xml"/><Relationship Id="rId8" Type="http://purl.oclc.org/ooxml/officeDocument/relationships/image" Target="media/image1.png"/><Relationship Id="rId51" Type="http://purl.oclc.org/ooxml/officeDocument/relationships/hyperlink" Target="https://doi.org/10.1016/j.jbusres.2021.03.061" TargetMode="External"/><Relationship Id="rId3" Type="http://purl.oclc.org/ooxml/officeDocument/relationships/styles" Target="styles.xml"/><Relationship Id="rId12" Type="http://purl.oclc.org/ooxml/officeDocument/relationships/footer" Target="footer2.xml"/><Relationship Id="rId17" Type="http://purl.oclc.org/ooxml/officeDocument/relationships/hyperlink" Target="https://orcid.org/0009-0006-1853-4141" TargetMode="External"/><Relationship Id="rId25" Type="http://purl.oclc.org/ooxml/officeDocument/relationships/image" Target="media/image3.jpg"/><Relationship Id="rId33" Type="http://purl.oclc.org/ooxml/officeDocument/relationships/hyperlink" Target="https://doi.org/10.1080/00913367.2021.1977737" TargetMode="External"/><Relationship Id="rId38" Type="http://purl.oclc.org/ooxml/officeDocument/relationships/hyperlink" Target="https://doi.org/10.1080/02650487.2023.2300927" TargetMode="External"/><Relationship Id="rId46" Type="http://purl.oclc.org/ooxml/officeDocument/relationships/hyperlink" Target="https://doi.org/10.1108/ajim-07-2022-0347" TargetMode="External"/><Relationship Id="rId59" Type="http://purl.oclc.org/ooxml/officeDocument/relationships/hyperlink" Target="https://doi.org/10.1007/s11747-022-00839-w" TargetMode="External"/><Relationship Id="rId20" Type="http://purl.oclc.org/ooxml/officeDocument/relationships/hyperlink" Target="https://orcid.org/0009-0005-6677-0440" TargetMode="External"/><Relationship Id="rId41" Type="http://purl.oclc.org/ooxml/officeDocument/relationships/hyperlink" Target="https://doi.org/10.1016/j.jretai.2021.01.007" TargetMode="External"/><Relationship Id="rId54" Type="http://purl.oclc.org/ooxml/officeDocument/relationships/hyperlink" Target="https://doi.org/10.1108/jpbm-09-2018-2014" TargetMode="External"/><Relationship Id="rId62" Type="http://purl.oclc.org/ooxml/officeDocument/relationships/hyperlink" Target="https://doi.org/10.1007/s11747-022-00837-y" TargetMode="External"/><Relationship Id="rId1" Type="http://purl.oclc.org/ooxml/officeDocument/relationships/customXml" Target="../customXml/item1.xml"/><Relationship Id="rId6" Type="http://purl.oclc.org/ooxml/officeDocument/relationships/footnotes" Target="footnotes.xml"/><Relationship Id="rId15" Type="http://purl.oclc.org/ooxml/officeDocument/relationships/hyperlink" Target="https://orcid.org/0009-0008-3160-5391" TargetMode="External"/><Relationship Id="rId23" Type="http://purl.oclc.org/ooxml/officeDocument/relationships/hyperlink" Target="https://orcid.org/0009-0005-7606-1939" TargetMode="External"/><Relationship Id="rId28" Type="http://purl.oclc.org/ooxml/officeDocument/relationships/hyperlink" Target="https://doi.org/10.5267/j.ijdns.2023.9.011" TargetMode="External"/><Relationship Id="rId36" Type="http://purl.oclc.org/ooxml/officeDocument/relationships/hyperlink" Target="https://doi.org/10.1016/j.chb.2023.107894" TargetMode="External"/><Relationship Id="rId49" Type="http://purl.oclc.org/ooxml/officeDocument/relationships/hyperlink" Target="https://doi.org/10.1016/j.jretconser.2021.102778" TargetMode="External"/><Relationship Id="rId57" Type="http://purl.oclc.org/ooxml/officeDocument/relationships/hyperlink" Target="https://doi.org/10.1016/j.recesp.2021.06.016" TargetMode="External"/><Relationship Id="rId10" Type="http://purl.oclc.org/ooxml/officeDocument/relationships/header" Target="header2.xml"/><Relationship Id="rId31" Type="http://purl.oclc.org/ooxml/officeDocument/relationships/hyperlink" Target="https://doi.org/10.1080/00913367.2020.1795756" TargetMode="External"/><Relationship Id="rId44" Type="http://purl.oclc.org/ooxml/officeDocument/relationships/hyperlink" Target="https://doi.org/10.1177/0022243720934863" TargetMode="External"/><Relationship Id="rId52" Type="http://purl.oclc.org/ooxml/officeDocument/relationships/hyperlink" Target="https://doi.org/10.1016/j.acuro.2018.01.010" TargetMode="External"/><Relationship Id="rId60" Type="http://purl.oclc.org/ooxml/officeDocument/relationships/hyperlink" Target="https://doi.org/10.1016/j.emj.2019.08.011" TargetMode="External"/><Relationship Id="rId65" Type="http://purl.oclc.org/ooxml/officeDocument/relationships/fontTable" Target="fontTable.xml"/><Relationship Id="rId4" Type="http://purl.oclc.org/ooxml/officeDocument/relationships/settings" Target="settings.xml"/><Relationship Id="rId9" Type="http://purl.oclc.org/ooxml/officeDocument/relationships/header" Target="header1.xml"/><Relationship Id="rId13" Type="http://purl.oclc.org/ooxml/officeDocument/relationships/hyperlink" Target="mailto:juliettediazcercado@gmail.com" TargetMode="External"/><Relationship Id="rId18" Type="http://purl.oclc.org/ooxml/officeDocument/relationships/hyperlink" Target="https://orcid.org/0009-0006-1853-4141" TargetMode="External"/><Relationship Id="rId39" Type="http://purl.oclc.org/ooxml/officeDocument/relationships/hyperlink" Target="https://doi.org/10.1016/j.ibusrev.2020.101776" TargetMode="External"/></Relationships>
</file>

<file path=word/_rels/header1.xml.rels><?xml version="1.0" encoding="UTF-8" standalone="yes"?>
<Relationships xmlns="http://schemas.openxmlformats.org/package/2006/relationships"><Relationship Id="rId1" Type="http://purl.oclc.org/ooxml/officeDocument/relationships/image" Target="media/image2.png"/></Relationships>
</file>

<file path=word/_rels/header2.xml.rels><?xml version="1.0" encoding="UTF-8" standalone="yes"?>
<Relationships xmlns="http://schemas.openxmlformats.org/package/2006/relationships"><Relationship Id="rId1" Type="http://purl.oclc.org/ooxml/officeDocument/relationships/image" Target="media/image2.pn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65CCD546-F588-4F88-8C70-3063567C083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15</TotalTime>
  <Pages>37</Pages>
  <Words>9109</Words>
  <Characters>50104</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 Reis</dc:creator>
  <cp:lastModifiedBy>Jean Luis Arana</cp:lastModifiedBy>
  <cp:revision>13</cp:revision>
  <cp:lastPrinted>2024-12-10T01:31:00Z</cp:lastPrinted>
  <dcterms:created xsi:type="dcterms:W3CDTF">2024-12-09T20:25:00Z</dcterms:created>
  <dcterms:modified xsi:type="dcterms:W3CDTF">2024-12-10T01:50:00Z</dcterms:modified>
</cp:coreProperties>
</file>