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524D88CF" w14:textId="46BE04DB" w:rsidR="004A0DF2" w:rsidRPr="00612ADC" w:rsidRDefault="005024A9" w:rsidP="004301C6">
      <w:pPr>
        <w:spacing w:after="12pt" w:line="12pt" w:lineRule="auto"/>
        <w:jc w:val="both"/>
        <w:rPr>
          <w:rFonts w:ascii="Times New Roman" w:eastAsia="Times New Roman" w:hAnsi="Times New Roman" w:cs="Times New Roman"/>
          <w:b/>
          <w:color w:val="2F5496" w:themeColor="accent1" w:themeShade="BF"/>
          <w:sz w:val="32"/>
          <w:szCs w:val="32"/>
        </w:rPr>
      </w:pPr>
      <w:bookmarkStart w:id="2" w:name="_Hlk184634463"/>
      <w:bookmarkEnd w:id="0"/>
      <w:r>
        <w:rPr>
          <w:rFonts w:ascii="Times New Roman" w:eastAsia="Times New Roman" w:hAnsi="Times New Roman" w:cs="Times New Roman"/>
          <w:b/>
          <w:color w:val="2F5496" w:themeColor="accent1" w:themeShade="BF"/>
          <w:sz w:val="32"/>
          <w:szCs w:val="32"/>
        </w:rPr>
        <w:t>El</w:t>
      </w:r>
      <w:r w:rsidR="00F403B0">
        <w:rPr>
          <w:rFonts w:ascii="Times New Roman" w:eastAsia="Times New Roman" w:hAnsi="Times New Roman" w:cs="Times New Roman"/>
          <w:b/>
          <w:color w:val="2F5496" w:themeColor="accent1" w:themeShade="BF"/>
          <w:sz w:val="32"/>
          <w:szCs w:val="32"/>
        </w:rPr>
        <w:t xml:space="preserve"> </w:t>
      </w:r>
      <w:r w:rsidR="006331E1" w:rsidRPr="00612ADC">
        <w:rPr>
          <w:rFonts w:ascii="Times New Roman" w:eastAsia="Times New Roman" w:hAnsi="Times New Roman" w:cs="Times New Roman"/>
          <w:b/>
          <w:color w:val="2F5496" w:themeColor="accent1" w:themeShade="BF"/>
          <w:sz w:val="32"/>
          <w:szCs w:val="32"/>
        </w:rPr>
        <w:t>Neuromarketing y el comportamiento de compra del consumidor 2019-2024. Una revisión sistemática</w:t>
      </w:r>
      <w:r w:rsidR="004A0DF2" w:rsidRPr="00612ADC">
        <w:rPr>
          <w:rFonts w:ascii="Times New Roman" w:eastAsia="Times New Roman" w:hAnsi="Times New Roman" w:cs="Times New Roman"/>
          <w:b/>
          <w:bCs/>
          <w:color w:val="2F5496" w:themeColor="accent1" w:themeShade="BF"/>
          <w:sz w:val="32"/>
          <w:szCs w:val="32"/>
        </w:rPr>
        <w:t>.</w:t>
      </w:r>
    </w:p>
    <w:p w14:paraId="69C92F7A" w14:textId="2197B3CC" w:rsidR="00D51211" w:rsidRPr="00D51211" w:rsidRDefault="00D51211" w:rsidP="00D51211">
      <w:pPr>
        <w:spacing w:before="12pt" w:after="12pt"/>
        <w:jc w:val="center"/>
        <w:rPr>
          <w:rFonts w:ascii="Times New Roman" w:eastAsia="Times New Roman" w:hAnsi="Times New Roman" w:cs="Times New Roman"/>
          <w:b/>
          <w:bCs/>
          <w:color w:val="2F5496" w:themeColor="accent1" w:themeShade="BF"/>
          <w:sz w:val="24"/>
          <w:szCs w:val="24"/>
        </w:rPr>
      </w:pPr>
      <w:r w:rsidRPr="00D51211">
        <w:rPr>
          <w:rFonts w:ascii="Times New Roman" w:eastAsia="Times New Roman" w:hAnsi="Times New Roman" w:cs="Times New Roman"/>
          <w:b/>
          <w:bCs/>
          <w:color w:val="2F5496" w:themeColor="accent1" w:themeShade="BF"/>
          <w:sz w:val="24"/>
          <w:szCs w:val="24"/>
        </w:rPr>
        <w:t>.</w:t>
      </w:r>
    </w:p>
    <w:bookmarkEnd w:id="2"/>
    <w:p w14:paraId="3AF1FC8E" w14:textId="1FF788A2" w:rsidR="00B47DE7" w:rsidRDefault="00D51211" w:rsidP="00B47DE7">
      <w:pPr>
        <w:spacing w:after="0pt" w:line="12pt" w:lineRule="auto"/>
        <w:rPr>
          <w:rFonts w:ascii="Goudy Old Style" w:hAnsi="Goudy Old Style"/>
          <w:b/>
          <w:bCs/>
          <w:sz w:val="24"/>
          <w:szCs w:val="24"/>
        </w:rPr>
      </w:pPr>
      <w:r>
        <w:rPr>
          <w:rFonts w:ascii="Goudy Old Style" w:hAnsi="Goudy Old Style"/>
          <w:noProof/>
        </w:rPr>
        <w:drawing>
          <wp:inline distT="0" distB="0" distL="0" distR="0" wp14:anchorId="76418158" wp14:editId="63F89182">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7471E306" w14:textId="77777777" w:rsidR="00D51211" w:rsidRDefault="00D51211" w:rsidP="00B47DE7">
      <w:pPr>
        <w:spacing w:after="0pt" w:line="12pt" w:lineRule="auto"/>
        <w:rPr>
          <w:rFonts w:ascii="Goudy Old Style" w:hAnsi="Goudy Old Style"/>
          <w:b/>
          <w:bCs/>
          <w:sz w:val="24"/>
          <w:szCs w:val="24"/>
        </w:rPr>
      </w:pPr>
    </w:p>
    <w:p w14:paraId="2BB6852E" w14:textId="77777777" w:rsidR="00D51211" w:rsidRDefault="00D51211" w:rsidP="00B47DE7">
      <w:pPr>
        <w:spacing w:after="0pt" w:line="12pt" w:lineRule="auto"/>
        <w:rPr>
          <w:rFonts w:ascii="Goudy Old Style" w:hAnsi="Goudy Old Style"/>
          <w:b/>
          <w:bCs/>
          <w:sz w:val="24"/>
          <w:szCs w:val="24"/>
        </w:rPr>
      </w:pPr>
    </w:p>
    <w:p w14:paraId="2BBF7461" w14:textId="77777777" w:rsidR="00D51211" w:rsidRDefault="00D51211" w:rsidP="00B47DE7">
      <w:pPr>
        <w:spacing w:after="0pt" w:line="12pt" w:lineRule="auto"/>
        <w:rPr>
          <w:rFonts w:ascii="Goudy Old Style" w:hAnsi="Goudy Old Style"/>
          <w:b/>
          <w:bCs/>
          <w:sz w:val="24"/>
          <w:szCs w:val="24"/>
        </w:rPr>
      </w:pPr>
    </w:p>
    <w:p w14:paraId="42C79AA5" w14:textId="77777777" w:rsidR="00D51211" w:rsidRDefault="00D51211" w:rsidP="00B47DE7">
      <w:pPr>
        <w:spacing w:after="0pt" w:line="12pt" w:lineRule="auto"/>
        <w:rPr>
          <w:rFonts w:ascii="Goudy Old Style" w:hAnsi="Goudy Old Style"/>
          <w:b/>
          <w:bCs/>
          <w:sz w:val="24"/>
          <w:szCs w:val="24"/>
        </w:rPr>
      </w:pPr>
    </w:p>
    <w:p w14:paraId="3C8EA105" w14:textId="77777777" w:rsidR="00D51211" w:rsidRDefault="00D51211" w:rsidP="00B47DE7">
      <w:pPr>
        <w:spacing w:after="0pt" w:line="12pt" w:lineRule="auto"/>
        <w:rPr>
          <w:rFonts w:ascii="Goudy Old Style" w:hAnsi="Goudy Old Style"/>
          <w:b/>
          <w:bCs/>
          <w:sz w:val="24"/>
          <w:szCs w:val="24"/>
        </w:rPr>
      </w:pPr>
    </w:p>
    <w:p w14:paraId="6A080F53" w14:textId="77777777" w:rsidR="00D51211" w:rsidRDefault="00D51211" w:rsidP="00B47DE7">
      <w:pPr>
        <w:spacing w:after="0pt" w:line="12pt" w:lineRule="auto"/>
        <w:rPr>
          <w:rFonts w:ascii="Goudy Old Style" w:hAnsi="Goudy Old Style"/>
          <w:b/>
          <w:bCs/>
          <w:sz w:val="24"/>
          <w:szCs w:val="24"/>
        </w:rPr>
      </w:pPr>
    </w:p>
    <w:p w14:paraId="1B3FCFB0" w14:textId="77777777" w:rsidR="00D51211" w:rsidRDefault="00D51211" w:rsidP="00B47DE7">
      <w:pPr>
        <w:spacing w:after="0pt" w:line="12pt" w:lineRule="auto"/>
        <w:rPr>
          <w:rFonts w:ascii="Goudy Old Style" w:hAnsi="Goudy Old Style"/>
          <w:b/>
          <w:bCs/>
          <w:sz w:val="24"/>
          <w:szCs w:val="24"/>
        </w:rPr>
      </w:pPr>
    </w:p>
    <w:p w14:paraId="3632AC02" w14:textId="77777777" w:rsidR="00D51211" w:rsidRDefault="00D51211" w:rsidP="00B47DE7">
      <w:pPr>
        <w:spacing w:after="0pt" w:line="12pt" w:lineRule="auto"/>
        <w:rPr>
          <w:rFonts w:ascii="Goudy Old Style" w:hAnsi="Goudy Old Style"/>
          <w:b/>
          <w:bCs/>
          <w:sz w:val="24"/>
          <w:szCs w:val="24"/>
        </w:rPr>
      </w:pP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612ADC">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154"/>
          <w:cols w:space="35.40pt"/>
          <w:docGrid w:linePitch="360"/>
        </w:sectPr>
      </w:pPr>
    </w:p>
    <w:p w14:paraId="081E404C"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proofErr w:type="spellStart"/>
      <w:r w:rsidRPr="006331E1">
        <w:rPr>
          <w:rFonts w:ascii="Times New Roman" w:eastAsia="Times New Roman" w:hAnsi="Times New Roman" w:cs="Times New Roman"/>
        </w:rPr>
        <w:lastRenderedPageBreak/>
        <w:t>Adrian</w:t>
      </w:r>
      <w:proofErr w:type="spellEnd"/>
      <w:r w:rsidRPr="006331E1">
        <w:rPr>
          <w:rFonts w:ascii="Times New Roman" w:eastAsia="Times New Roman" w:hAnsi="Times New Roman" w:cs="Times New Roman"/>
        </w:rPr>
        <w:t xml:space="preserve"> Marcelo Montalván </w:t>
      </w:r>
      <w:proofErr w:type="spellStart"/>
      <w:r w:rsidRPr="006331E1">
        <w:rPr>
          <w:rFonts w:ascii="Times New Roman" w:eastAsia="Times New Roman" w:hAnsi="Times New Roman" w:cs="Times New Roman"/>
        </w:rPr>
        <w:t>Esquerre</w:t>
      </w:r>
      <w:proofErr w:type="spellEnd"/>
    </w:p>
    <w:p w14:paraId="0B956A45"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3">
        <w:r w:rsidRPr="006331E1">
          <w:rPr>
            <w:rFonts w:ascii="Times New Roman" w:eastAsia="Times New Roman" w:hAnsi="Times New Roman" w:cs="Times New Roman"/>
            <w:color w:val="1155CC"/>
            <w:u w:val="single"/>
          </w:rPr>
          <w:t>u201821360@upc.edu.pe</w:t>
        </w:r>
      </w:hyperlink>
    </w:p>
    <w:p w14:paraId="7E1A978E"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4">
        <w:r w:rsidRPr="006331E1">
          <w:rPr>
            <w:rFonts w:ascii="Times New Roman" w:eastAsia="Times New Roman" w:hAnsi="Times New Roman" w:cs="Times New Roman"/>
            <w:color w:val="1155CC"/>
            <w:u w:val="single"/>
          </w:rPr>
          <w:t>https://orcid.org/0009-0009-9250-3492</w:t>
        </w:r>
      </w:hyperlink>
    </w:p>
    <w:p w14:paraId="5D350F28"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Universidad Peruana de Ciencias Aplicadas</w:t>
      </w:r>
    </w:p>
    <w:p w14:paraId="57935303"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Lima, Perú</w:t>
      </w:r>
    </w:p>
    <w:p w14:paraId="49E47FFE"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p>
    <w:p w14:paraId="5E0F0E4F"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Alexa Quintana Loza</w:t>
      </w:r>
    </w:p>
    <w:p w14:paraId="02A4E124"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5">
        <w:r w:rsidRPr="006331E1">
          <w:rPr>
            <w:rFonts w:ascii="Times New Roman" w:eastAsia="Times New Roman" w:hAnsi="Times New Roman" w:cs="Times New Roman"/>
            <w:color w:val="1155CC"/>
            <w:u w:val="single"/>
          </w:rPr>
          <w:t>u201915999@upc.edu.pe</w:t>
        </w:r>
      </w:hyperlink>
      <w:r w:rsidRPr="006331E1">
        <w:rPr>
          <w:rFonts w:ascii="Times New Roman" w:eastAsia="Times New Roman" w:hAnsi="Times New Roman" w:cs="Times New Roman"/>
        </w:rPr>
        <w:t xml:space="preserve"> </w:t>
      </w:r>
    </w:p>
    <w:p w14:paraId="0A5DDFE6"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6">
        <w:r w:rsidRPr="006331E1">
          <w:rPr>
            <w:rFonts w:ascii="Times New Roman" w:eastAsia="Times New Roman" w:hAnsi="Times New Roman" w:cs="Times New Roman"/>
            <w:color w:val="1155CC"/>
            <w:u w:val="single"/>
          </w:rPr>
          <w:t>https://orcid.org/0009-0009-8988-4677</w:t>
        </w:r>
      </w:hyperlink>
      <w:r w:rsidRPr="006331E1">
        <w:rPr>
          <w:rFonts w:ascii="Times New Roman" w:eastAsia="Times New Roman" w:hAnsi="Times New Roman" w:cs="Times New Roman"/>
        </w:rPr>
        <w:t xml:space="preserve"> </w:t>
      </w:r>
    </w:p>
    <w:p w14:paraId="4E63286A"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Universidad Peruana de Ciencias Aplicadas</w:t>
      </w:r>
    </w:p>
    <w:p w14:paraId="4D123B45"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Lima, Perú</w:t>
      </w:r>
    </w:p>
    <w:p w14:paraId="4F78AFA4"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p>
    <w:p w14:paraId="63F6FDCB"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Joseph Jeanpiere Palomino Quispe</w:t>
      </w:r>
    </w:p>
    <w:p w14:paraId="15733F12"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7">
        <w:r w:rsidRPr="006331E1">
          <w:rPr>
            <w:rFonts w:ascii="Times New Roman" w:eastAsia="Times New Roman" w:hAnsi="Times New Roman" w:cs="Times New Roman"/>
            <w:color w:val="1155CC"/>
            <w:u w:val="single"/>
          </w:rPr>
          <w:t>u20181f431@upc.edu.pe</w:t>
        </w:r>
      </w:hyperlink>
      <w:r w:rsidRPr="006331E1">
        <w:rPr>
          <w:rFonts w:ascii="Times New Roman" w:eastAsia="Times New Roman" w:hAnsi="Times New Roman" w:cs="Times New Roman"/>
        </w:rPr>
        <w:t xml:space="preserve"> </w:t>
      </w:r>
    </w:p>
    <w:p w14:paraId="014765B7"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8">
        <w:r w:rsidRPr="006331E1">
          <w:rPr>
            <w:rFonts w:ascii="Times New Roman" w:eastAsia="Times New Roman" w:hAnsi="Times New Roman" w:cs="Times New Roman"/>
            <w:color w:val="1155CC"/>
            <w:u w:val="single"/>
          </w:rPr>
          <w:t>https://orcid.org/0009-0007-5506-1424</w:t>
        </w:r>
      </w:hyperlink>
      <w:r w:rsidRPr="006331E1">
        <w:rPr>
          <w:rFonts w:ascii="Times New Roman" w:eastAsia="Times New Roman" w:hAnsi="Times New Roman" w:cs="Times New Roman"/>
        </w:rPr>
        <w:t xml:space="preserve"> </w:t>
      </w:r>
    </w:p>
    <w:p w14:paraId="2B15DE98"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Universidad Peruana de Ciencias Aplicadas</w:t>
      </w:r>
    </w:p>
    <w:p w14:paraId="01094125"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Lima, Perú</w:t>
      </w:r>
    </w:p>
    <w:p w14:paraId="5B14D1D7"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p>
    <w:p w14:paraId="48C2F970"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 xml:space="preserve">Sergio Paolo Urquizo </w:t>
      </w:r>
      <w:proofErr w:type="spellStart"/>
      <w:r w:rsidRPr="006331E1">
        <w:rPr>
          <w:rFonts w:ascii="Times New Roman" w:eastAsia="Times New Roman" w:hAnsi="Times New Roman" w:cs="Times New Roman"/>
        </w:rPr>
        <w:t>Perez</w:t>
      </w:r>
      <w:proofErr w:type="spellEnd"/>
    </w:p>
    <w:p w14:paraId="7AE82097"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19">
        <w:r w:rsidRPr="006331E1">
          <w:rPr>
            <w:rFonts w:ascii="Times New Roman" w:eastAsia="Times New Roman" w:hAnsi="Times New Roman" w:cs="Times New Roman"/>
            <w:color w:val="1155CC"/>
            <w:u w:val="single"/>
          </w:rPr>
          <w:t>u201710264@upc.edu.pe</w:t>
        </w:r>
      </w:hyperlink>
    </w:p>
    <w:p w14:paraId="36373811"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hyperlink r:id="rId20">
        <w:r w:rsidRPr="006331E1">
          <w:rPr>
            <w:rFonts w:ascii="Times New Roman" w:eastAsia="Times New Roman" w:hAnsi="Times New Roman" w:cs="Times New Roman"/>
            <w:color w:val="1155CC"/>
            <w:u w:val="single"/>
          </w:rPr>
          <w:t>https://orcid.org/0009-0000-3097-6977</w:t>
        </w:r>
      </w:hyperlink>
    </w:p>
    <w:p w14:paraId="7F6EBDB6" w14:textId="77777777" w:rsidR="006331E1" w:rsidRPr="006331E1" w:rsidRDefault="006331E1" w:rsidP="006331E1">
      <w:pPr>
        <w:spacing w:after="12pt" w:line="12pt" w:lineRule="auto"/>
        <w:contextualSpacing/>
        <w:jc w:val="end"/>
        <w:rPr>
          <w:rFonts w:ascii="Times New Roman" w:eastAsia="Times New Roman" w:hAnsi="Times New Roman" w:cs="Times New Roman"/>
        </w:rPr>
      </w:pPr>
      <w:r w:rsidRPr="006331E1">
        <w:rPr>
          <w:rFonts w:ascii="Times New Roman" w:eastAsia="Times New Roman" w:hAnsi="Times New Roman" w:cs="Times New Roman"/>
        </w:rPr>
        <w:t>Universidad Peruana de Ciencias Aplicadas</w:t>
      </w:r>
    </w:p>
    <w:p w14:paraId="5670F1A4" w14:textId="77777777" w:rsidR="006331E1" w:rsidRPr="006331E1" w:rsidRDefault="006331E1" w:rsidP="006331E1">
      <w:pPr>
        <w:spacing w:after="12pt" w:line="12pt" w:lineRule="auto"/>
        <w:contextualSpacing/>
        <w:jc w:val="end"/>
        <w:rPr>
          <w:rFonts w:ascii="Times New Roman" w:eastAsia="Times New Roman" w:hAnsi="Times New Roman" w:cs="Times New Roman"/>
          <w:b/>
        </w:rPr>
      </w:pPr>
      <w:r w:rsidRPr="006331E1">
        <w:rPr>
          <w:rFonts w:ascii="Times New Roman" w:eastAsia="Times New Roman" w:hAnsi="Times New Roman" w:cs="Times New Roman"/>
        </w:rPr>
        <w:t>Lima, Perú</w:t>
      </w:r>
    </w:p>
    <w:p w14:paraId="5E61BCD6"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2A1BB66" w14:textId="31D9B5BF" w:rsidR="006331E1" w:rsidRPr="004A0DF2" w:rsidRDefault="00D51211" w:rsidP="006331E1">
      <w:pPr>
        <w:spacing w:line="12pt" w:lineRule="auto"/>
        <w:contextualSpacing/>
        <w:jc w:val="end"/>
        <w:rPr>
          <w:rFonts w:ascii="Times New Roman" w:eastAsia="Times New Roman" w:hAnsi="Times New Roman" w:cs="Times New Roman"/>
        </w:rPr>
      </w:pPr>
      <w:r w:rsidRPr="005024A9">
        <w:rPr>
          <w:rFonts w:ascii="Times New Roman" w:eastAsia="Times New Roman" w:hAnsi="Times New Roman" w:cs="Times New Roman"/>
          <w:b/>
          <w:sz w:val="24"/>
          <w:szCs w:val="24"/>
        </w:rPr>
        <w:t xml:space="preserve">                            </w:t>
      </w:r>
      <w:r w:rsidRPr="005024A9">
        <w:rPr>
          <w:rFonts w:ascii="Times New Roman" w:eastAsia="Times New Roman" w:hAnsi="Times New Roman" w:cs="Times New Roman"/>
          <w:sz w:val="24"/>
          <w:szCs w:val="24"/>
        </w:rPr>
        <w:t xml:space="preserve">  </w:t>
      </w:r>
    </w:p>
    <w:p w14:paraId="22E5733B" w14:textId="3B8A4E67" w:rsidR="004A0DF2" w:rsidRPr="004A0DF2" w:rsidRDefault="004A0DF2" w:rsidP="004A0DF2">
      <w:pPr>
        <w:spacing w:line="12pt" w:lineRule="auto"/>
        <w:contextualSpacing/>
        <w:jc w:val="end"/>
        <w:rPr>
          <w:rFonts w:ascii="Times New Roman" w:eastAsia="Times New Roman" w:hAnsi="Times New Roman" w:cs="Times New Roman"/>
        </w:rPr>
      </w:pPr>
    </w:p>
    <w:p w14:paraId="6DB9284A" w14:textId="57826085" w:rsidR="00D51211" w:rsidRPr="00D51211" w:rsidRDefault="00D51211" w:rsidP="004A0DF2">
      <w:pPr>
        <w:keepLines/>
        <w:spacing w:before="12pt" w:after="12pt" w:line="12pt" w:lineRule="auto"/>
        <w:contextualSpacing/>
        <w:jc w:val="end"/>
        <w:rPr>
          <w:rFonts w:ascii="Times New Roman" w:eastAsia="Times New Roman" w:hAnsi="Times New Roman" w:cs="Times New Roman"/>
        </w:rPr>
      </w:pPr>
    </w:p>
    <w:p w14:paraId="352EC2C8"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58D900A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2B53A10D"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7F8B166F"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8DBE75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D3268A5"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7AB2A8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0DD2E3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A5803D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CFB5FF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5BA8A52"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CD97744"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571326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851B27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0E7774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44E086E"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89185B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CE329BD"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184DE80"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774B41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BD2C0E8"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359C7367"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F4B32E6" w14:textId="528678BD"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24452886" w14:textId="77777777" w:rsidR="00D51211" w:rsidRPr="00465E4D" w:rsidRDefault="00D51211" w:rsidP="00CC0AD9">
      <w:pPr>
        <w:tabs>
          <w:tab w:val="start" w:pos="170.10pt"/>
        </w:tabs>
        <w:spacing w:after="0pt"/>
        <w:jc w:val="both"/>
        <w:rPr>
          <w:rFonts w:ascii="Goudy Old Style" w:hAnsi="Goudy Old Style" w:cs="Arial"/>
          <w:color w:val="00B050"/>
          <w:sz w:val="24"/>
          <w:szCs w:val="24"/>
        </w:rPr>
      </w:pPr>
    </w:p>
    <w:p w14:paraId="5606CF47" w14:textId="77777777" w:rsidR="006331E1" w:rsidRPr="006331E1" w:rsidRDefault="006331E1" w:rsidP="006331E1">
      <w:pPr>
        <w:spacing w:after="12pt" w:line="12pt" w:lineRule="auto"/>
        <w:jc w:val="both"/>
        <w:rPr>
          <w:rFonts w:ascii="Times New Roman" w:eastAsia="Times New Roman" w:hAnsi="Times New Roman" w:cs="Times New Roman"/>
        </w:rPr>
      </w:pPr>
      <w:r w:rsidRPr="006331E1">
        <w:rPr>
          <w:rFonts w:ascii="Times New Roman" w:eastAsia="Times New Roman" w:hAnsi="Times New Roman" w:cs="Times New Roman"/>
        </w:rPr>
        <w:t>El siguiente artículo trata sobre el neuromarketing y el comportamiento del consumidor, en este se realiza una investigación profundizada que aborda la relación que existe entre el marketing y la neurociencia con la finalidad de entender a fondo el proceso de compra de los consumidores. Asimismo, se destaca la importancia que tiene el neuromarketing la cual funciona como una herramienta totalmente innovadora la cual permite determinar o conocer los procesos subconscientes que tienen influencia en las decisiones de compra de los consumidores en un mercado con abundancia de competencia y con una gran saturación de productos y publicidad. En este estudio realizamos un detallado procedimiento de búsqueda en bases de datos , guiándonos de matrices como la de PRISMA con la finalidad de garantizar la transparencia y concordancia en la recopilación de datos informáticos. Además, se tienen en cuenta antecedentes que permitan resaltar el potencial que tiene el neuromarketing para revolucionar las estrategias de mercado al intuir las preferencias y posibles decisiones que tienen los consumidores. En resumen, el artículo analiza las evidencias desarrolladas sobre neuromarketing y comportamiento del consumidor.</w:t>
      </w:r>
    </w:p>
    <w:p w14:paraId="5E4AC9E2" w14:textId="77777777" w:rsidR="006331E1" w:rsidRPr="006331E1" w:rsidRDefault="006331E1" w:rsidP="006331E1">
      <w:pPr>
        <w:spacing w:after="12pt" w:line="12pt" w:lineRule="auto"/>
        <w:jc w:val="both"/>
        <w:rPr>
          <w:rFonts w:ascii="Times New Roman" w:eastAsia="Times New Roman" w:hAnsi="Times New Roman" w:cs="Times New Roman"/>
        </w:rPr>
      </w:pPr>
      <w:r w:rsidRPr="006331E1">
        <w:rPr>
          <w:rFonts w:ascii="Times New Roman" w:eastAsia="Times New Roman" w:hAnsi="Times New Roman" w:cs="Times New Roman"/>
          <w:b/>
        </w:rPr>
        <w:t>Palabras claves:</w:t>
      </w:r>
      <w:r w:rsidRPr="006331E1">
        <w:rPr>
          <w:rFonts w:ascii="Times New Roman" w:eastAsia="Times New Roman" w:hAnsi="Times New Roman" w:cs="Times New Roman"/>
        </w:rPr>
        <w:t xml:space="preserve"> neurociencia; marketing; decisiones de compra; comportamiento del consumidor.</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41C4FA32" w14:textId="045ADC8B" w:rsidR="005804F0" w:rsidRPr="005804F0" w:rsidRDefault="006331E1" w:rsidP="006331E1">
      <w:pPr>
        <w:spacing w:line="18pt" w:lineRule="auto"/>
        <w:ind w:start="-13.85pt" w:end="-15.80pt" w:firstLine="14.15pt"/>
        <w:jc w:val="both"/>
        <w:rPr>
          <w:rFonts w:ascii="Times New Roman" w:eastAsia="Times New Roman" w:hAnsi="Times New Roman" w:cs="Times New Roman"/>
          <w:b/>
          <w:color w:val="2F5496" w:themeColor="accent1" w:themeShade="BF"/>
          <w:sz w:val="24"/>
          <w:szCs w:val="24"/>
          <w:lang w:val="en-US"/>
        </w:rPr>
      </w:pPr>
      <w:r w:rsidRPr="006331E1">
        <w:rPr>
          <w:rFonts w:ascii="Times New Roman" w:eastAsia="Times New Roman" w:hAnsi="Times New Roman" w:cs="Times New Roman"/>
          <w:b/>
          <w:color w:val="2F5496" w:themeColor="accent1" w:themeShade="BF"/>
          <w:sz w:val="24"/>
          <w:szCs w:val="24"/>
          <w:lang w:val="en-US"/>
        </w:rPr>
        <w:t>Neuromarketing and consumer purchasing behavior 2019-2024. A systematic review</w:t>
      </w:r>
      <w:r w:rsidR="005804F0" w:rsidRPr="005804F0">
        <w:rPr>
          <w:rFonts w:ascii="Times New Roman" w:eastAsia="Times New Roman" w:hAnsi="Times New Roman" w:cs="Times New Roman"/>
          <w:b/>
          <w:color w:val="2F5496" w:themeColor="accent1" w:themeShade="BF"/>
          <w:sz w:val="24"/>
          <w:szCs w:val="24"/>
          <w:lang w:val="en-US"/>
        </w:rPr>
        <w:t>.</w:t>
      </w:r>
    </w:p>
    <w:p w14:paraId="3DBE9749" w14:textId="77777777" w:rsidR="00C728A2" w:rsidRPr="005804F0" w:rsidRDefault="00C728A2" w:rsidP="00CC0AD9">
      <w:pPr>
        <w:spacing w:after="0pt" w:line="12pt" w:lineRule="auto"/>
        <w:jc w:val="both"/>
        <w:rPr>
          <w:rFonts w:ascii="Book Antiqua" w:hAnsi="Book Antiqua" w:cs="Times New Roman"/>
          <w:b/>
          <w:iCs/>
          <w:color w:val="068892"/>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0DC25702" w14:textId="3D09EF33" w:rsidR="006331E1" w:rsidRPr="006331E1" w:rsidRDefault="006331E1" w:rsidP="006331E1">
      <w:pPr>
        <w:spacing w:after="12pt" w:line="12pt" w:lineRule="auto"/>
        <w:jc w:val="both"/>
        <w:rPr>
          <w:rFonts w:ascii="Times New Roman" w:eastAsia="Times New Roman" w:hAnsi="Times New Roman" w:cs="Times New Roman"/>
          <w:lang w:val="en-US"/>
        </w:rPr>
      </w:pPr>
      <w:r w:rsidRPr="006331E1">
        <w:rPr>
          <w:rFonts w:ascii="Times New Roman" w:eastAsia="Times New Roman" w:hAnsi="Times New Roman" w:cs="Times New Roman"/>
          <w:lang w:val="en-US"/>
        </w:rPr>
        <w:t>The following article is about neuromarketing and consumer behavior, in which an in-depth investigation is carried out that addresses the relationship that exists between marketing and neuroscience to thoroughly understand the consumer purchasing process. Likewise, the importance of neuromarketing is highlighted, which functions as a totally innovative tool that allows determining or knowing the subconscious processes that influence the purchasing decisions of consumers in a market with an abundance of competition and great saturation. of products and advertising. In this study we carried out a detailed search procedure in databases, guided by matrices such as PRISMA to guarantee transparency and consistency in the collection of computer data. In addition, background information is taken into account to highlight the potential that neuromarketing has to revolutionize market strategies by intuiting the preferences and possible decisions that consumers have. In summary, the article analyzes the evidence developed on neuromarketing and consumer behavior.</w:t>
      </w:r>
    </w:p>
    <w:p w14:paraId="2F84644B" w14:textId="7390A8B0" w:rsidR="005804F0" w:rsidRPr="006331E1" w:rsidRDefault="006331E1" w:rsidP="006331E1">
      <w:pPr>
        <w:spacing w:line="12pt" w:lineRule="auto"/>
        <w:ind w:start="-13.85pt" w:end="-15.80pt"/>
        <w:jc w:val="both"/>
        <w:rPr>
          <w:rFonts w:ascii="Times New Roman" w:eastAsia="Times New Roman" w:hAnsi="Times New Roman" w:cs="Times New Roman"/>
          <w:sz w:val="20"/>
          <w:szCs w:val="20"/>
          <w:lang w:val="en-US"/>
        </w:rPr>
      </w:pPr>
      <w:r w:rsidRPr="006331E1">
        <w:rPr>
          <w:rFonts w:ascii="Times New Roman" w:eastAsia="Times New Roman" w:hAnsi="Times New Roman" w:cs="Times New Roman"/>
          <w:b/>
          <w:lang w:val="en-US"/>
        </w:rPr>
        <w:t>Keywords:</w:t>
      </w:r>
      <w:r w:rsidRPr="006331E1">
        <w:rPr>
          <w:rFonts w:ascii="Times New Roman" w:eastAsia="Times New Roman" w:hAnsi="Times New Roman" w:cs="Times New Roman"/>
          <w:lang w:val="en-US"/>
        </w:rPr>
        <w:t xml:space="preserve"> neuroscience; marketing; purchasing decisions; consumer behavior.</w:t>
      </w:r>
    </w:p>
    <w:p w14:paraId="2D07136D" w14:textId="77777777" w:rsidR="005804F0" w:rsidRPr="006331E1" w:rsidRDefault="005804F0" w:rsidP="006331E1">
      <w:pPr>
        <w:spacing w:line="12pt" w:lineRule="auto"/>
        <w:ind w:start="-13.85pt" w:end="-15.80pt"/>
        <w:jc w:val="both"/>
        <w:rPr>
          <w:rFonts w:ascii="Times New Roman" w:eastAsia="Times New Roman" w:hAnsi="Times New Roman" w:cs="Times New Roman"/>
          <w:sz w:val="20"/>
          <w:szCs w:val="20"/>
          <w:lang w:val="en-US"/>
        </w:rPr>
      </w:pPr>
    </w:p>
    <w:p w14:paraId="09AB5F59" w14:textId="77777777" w:rsidR="005804F0" w:rsidRPr="005804F0" w:rsidRDefault="005804F0" w:rsidP="005804F0">
      <w:pPr>
        <w:spacing w:line="12pt" w:lineRule="auto"/>
        <w:ind w:start="-13.85pt" w:end="-15.80pt"/>
        <w:jc w:val="both"/>
        <w:rPr>
          <w:rFonts w:ascii="Times New Roman" w:eastAsia="Times New Roman" w:hAnsi="Times New Roman" w:cs="Times New Roman"/>
          <w:lang w:val="en-US"/>
        </w:rPr>
      </w:pPr>
    </w:p>
    <w:p w14:paraId="2DE343CD" w14:textId="77777777" w:rsidR="00D51211" w:rsidRPr="005804F0" w:rsidRDefault="00D51211" w:rsidP="005804F0">
      <w:pPr>
        <w:widowControl w:val="0"/>
        <w:spacing w:line="12pt" w:lineRule="auto"/>
        <w:jc w:val="both"/>
        <w:rPr>
          <w:rFonts w:ascii="Times New Roman" w:eastAsia="Times New Roman" w:hAnsi="Times New Roman" w:cs="Times New Roman"/>
          <w:b/>
          <w:lang w:val="en-US"/>
        </w:rPr>
      </w:pPr>
    </w:p>
    <w:p w14:paraId="38D09636" w14:textId="720C6F27" w:rsidR="002E007B" w:rsidRPr="00FC0181" w:rsidRDefault="00B50015" w:rsidP="00CC0AD9">
      <w:pPr>
        <w:spacing w:after="6pt" w:line="18pt" w:lineRule="auto"/>
        <w:jc w:val="center"/>
        <w:rPr>
          <w:rFonts w:ascii="Palatino Linotype" w:hAnsi="Palatino Linotype" w:cs="Arial"/>
          <w:b/>
          <w:bCs/>
          <w:color w:val="00B050"/>
          <w:sz w:val="24"/>
          <w:szCs w:val="24"/>
        </w:rPr>
      </w:pPr>
      <w:r w:rsidRPr="00FC0181">
        <w:rPr>
          <w:rFonts w:ascii="Palatino Linotype" w:hAnsi="Palatino Linotype" w:cs="Arial"/>
          <w:b/>
          <w:bCs/>
          <w:color w:val="00B050"/>
          <w:sz w:val="24"/>
          <w:szCs w:val="24"/>
        </w:rPr>
        <w:t>INTRODUCCIÓN</w:t>
      </w:r>
    </w:p>
    <w:p w14:paraId="49384F29"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la actualidad el mercado global se encuentra altamente saturado de productos y servicios, en donde las empresas buscan desarrollar frecuentemente estrategias con la finalidad de diferenciarse de la competencia y captar la atención del consumidor. En este entorno competitivo, el neuromarketing surge como una herramienta innovadora que busca esclarecer los procesos subconscientes que se encuentran ocultos en las decisiones de compra de los consumidores. Mediante el uso de tecnologías avanzadas como la electroencefalografía (EEG) y del seguimiento ocular, el neuromarketing busca encontrar respuestas cognitivas y emocionales que no se pueden captar mediante el uso de métodos o herramientas de investigación tradicionales, es de esta manera que el neuromarketing ofrece una ventaja competitiva a las empresas.</w:t>
      </w:r>
    </w:p>
    <w:p w14:paraId="1041A2FA"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a pesar del buen potencial que tiene el neuromarketing, su verdadero alcance y aplicación en mercados reales aún se siguen explorando con más profundidad. Los estudios de investigación iniciales son altamente prometedores, mostrando cómo es que esta técnica optimiza la eficacia de las campañas publicitarias y gracias a ello mejora la experiencia del consumidor.</w:t>
      </w:r>
    </w:p>
    <w:p w14:paraId="41160472"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Además, el neuromarketing no solo propone incrementar las ventas de las empresas, sino que también genera un gran potencial de mejorar la relación que existe entre los consumidores y las marcas, generando así gratas experiencias que sean personalizadas y más satisfactorias teniendo en cuenta las necesidades y deseos que tienen los consumidores.</w:t>
      </w:r>
    </w:p>
    <w:p w14:paraId="04B56907"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los últimos años, se han realizado investigaciones que han evidenciado una relación entre el marketing y </w:t>
      </w:r>
      <w:r>
        <w:rPr>
          <w:rFonts w:ascii="Times New Roman" w:eastAsia="Times New Roman" w:hAnsi="Times New Roman" w:cs="Times New Roman"/>
          <w:color w:val="0D0D0D"/>
          <w:sz w:val="24"/>
          <w:szCs w:val="24"/>
          <w:highlight w:val="white"/>
        </w:rPr>
        <w:t>la neurociencia como una nueva perspectiva para explorar y comprender  exhaustivamente el comportamiento del consumidor durante el proceso de compra (Portela et al., 2023). Las investigaciones han profundizado en aspectos como la respuesta de la  audiencia ante estímulos audiovisuales, la atención, la memoria y las emociones durante su exposición (Crespo et al., 2019). Además, estudios recientes han ampliado este enfoque al sugerir que el neuromarketing es efectivo para predecir tanto preferencias como futuras decisiones de los consumidores, señalando su potencial para revolucionar las estrategias de mercado (</w:t>
      </w:r>
      <w:proofErr w:type="spellStart"/>
      <w:r>
        <w:rPr>
          <w:rFonts w:ascii="Times New Roman" w:eastAsia="Times New Roman" w:hAnsi="Times New Roman" w:cs="Times New Roman"/>
          <w:color w:val="0D0D0D"/>
          <w:sz w:val="24"/>
          <w:szCs w:val="24"/>
          <w:highlight w:val="white"/>
        </w:rPr>
        <w:t>Mashur</w:t>
      </w:r>
      <w:proofErr w:type="spellEnd"/>
      <w:r>
        <w:rPr>
          <w:rFonts w:ascii="Times New Roman" w:eastAsia="Times New Roman" w:hAnsi="Times New Roman" w:cs="Times New Roman"/>
          <w:color w:val="0D0D0D"/>
          <w:sz w:val="24"/>
          <w:szCs w:val="24"/>
          <w:highlight w:val="white"/>
        </w:rPr>
        <w:t xml:space="preserve"> et al., 2022).</w:t>
      </w:r>
    </w:p>
    <w:p w14:paraId="3E8ADC54"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highlight w:val="white"/>
        </w:rPr>
        <w:lastRenderedPageBreak/>
        <w:t>También se han explorado las percepciones de los profesionales de la publicidad sobre el empleo de estas técnicas. Según los hallazgos de González et al. (2020) las principales razones del limitado uso de técnicas del neuromarketing en el ámbito profesional son su falta de comprensión de sus capacidades, complejidad, acceso a la tecnología, alto costo y tiempo requerido para su aplicación.</w:t>
      </w:r>
    </w:p>
    <w:p w14:paraId="7033517D"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modo de antecedente, se pueden citar, en primera instancia, estudios que implementaron herramientas de neuromarketing en la determinación de hábitos y preferencias de un consumidor. Valga como ejemplo el estudio realizado por </w:t>
      </w:r>
      <w:proofErr w:type="spellStart"/>
      <w:r>
        <w:rPr>
          <w:rFonts w:ascii="Times New Roman" w:eastAsia="Times New Roman" w:hAnsi="Times New Roman" w:cs="Times New Roman"/>
          <w:sz w:val="24"/>
          <w:szCs w:val="24"/>
        </w:rPr>
        <w:t>Ismajli</w:t>
      </w:r>
      <w:proofErr w:type="spellEnd"/>
      <w:r>
        <w:rPr>
          <w:rFonts w:ascii="Times New Roman" w:eastAsia="Times New Roman" w:hAnsi="Times New Roman" w:cs="Times New Roman"/>
          <w:sz w:val="24"/>
          <w:szCs w:val="24"/>
        </w:rPr>
        <w:t xml:space="preserve"> et al. (2022) que concluyó en que la neurociencia aplicada al campo de marketing favorece el descubrimiento de preferencias. Asimismo, Rodas y Montoya Restrepo (2019) en su búsqueda por un método efectivo para evaluar las propiedades comerciales de una pieza audiovisual concluyeron que, gracias a herramientas de neuromarketing, es posible determinar los elementos comerciales de un video publicitario y su impacto mediante un sistema de procesos. A su vez, gracias a protocolos y herramientas de neuromarketing, </w:t>
      </w:r>
      <w:proofErr w:type="spellStart"/>
      <w:r>
        <w:rPr>
          <w:rFonts w:ascii="Times New Roman" w:eastAsia="Times New Roman" w:hAnsi="Times New Roman" w:cs="Times New Roman"/>
          <w:sz w:val="24"/>
          <w:szCs w:val="24"/>
        </w:rPr>
        <w:t>Levrini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Jeffman</w:t>
      </w:r>
      <w:proofErr w:type="spellEnd"/>
      <w:r>
        <w:rPr>
          <w:rFonts w:ascii="Times New Roman" w:eastAsia="Times New Roman" w:hAnsi="Times New Roman" w:cs="Times New Roman"/>
          <w:sz w:val="24"/>
          <w:szCs w:val="24"/>
        </w:rPr>
        <w:t xml:space="preserve"> (2021) determinaron que una decisión inconsciente, basada en los atributos de un producto, podría alterarse si se presentaba nueva información, como marca y precio.</w:t>
      </w:r>
    </w:p>
    <w:p w14:paraId="7BCA137B"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ha de adicionar a los antes mencionados estudios las revisiones sistemáticas realizadas para analizar el neuromarketing de manera general y en campos específicos. En concreto, la revisión de neuromarketing sobre marcas y envases propuesta por Cerro et al. (2023). Del mismo modo, se ha de sumar a las citas aquellos estudios que nos presentan un acercamiento teórico mediante estudios con diversos enfoques de las variables consideradas en esta revisión. En ese sentido, el estudio realizado con el fin de determinar el </w:t>
      </w:r>
      <w:proofErr w:type="spellStart"/>
      <w:r>
        <w:rPr>
          <w:rFonts w:ascii="Times New Roman" w:eastAsia="Times New Roman" w:hAnsi="Times New Roman" w:cs="Times New Roman"/>
          <w:sz w:val="24"/>
          <w:szCs w:val="24"/>
        </w:rPr>
        <w:t>expertise</w:t>
      </w:r>
      <w:proofErr w:type="spellEnd"/>
      <w:r>
        <w:rPr>
          <w:rFonts w:ascii="Times New Roman" w:eastAsia="Times New Roman" w:hAnsi="Times New Roman" w:cs="Times New Roman"/>
          <w:sz w:val="24"/>
          <w:szCs w:val="24"/>
        </w:rPr>
        <w:t xml:space="preserve"> o nivel de implementación de neuromarketing de las empresas (Padilla et al., 2024), aquel con el propósito de determinar la disposición del consumidor a someterse a pruebas de neuromarketing (</w:t>
      </w:r>
      <w:proofErr w:type="spellStart"/>
      <w:r>
        <w:rPr>
          <w:rFonts w:ascii="Times New Roman" w:eastAsia="Times New Roman" w:hAnsi="Times New Roman" w:cs="Times New Roman"/>
          <w:sz w:val="24"/>
          <w:szCs w:val="24"/>
        </w:rPr>
        <w:t>Birknerová</w:t>
      </w:r>
      <w:proofErr w:type="spellEnd"/>
      <w:r>
        <w:rPr>
          <w:rFonts w:ascii="Times New Roman" w:eastAsia="Times New Roman" w:hAnsi="Times New Roman" w:cs="Times New Roman"/>
          <w:sz w:val="24"/>
          <w:szCs w:val="24"/>
        </w:rPr>
        <w:t xml:space="preserve"> et al., 2022), uno que presenta un resumen de las teorías relacionadas a la política de productos y neuromarketing (</w:t>
      </w:r>
      <w:proofErr w:type="spellStart"/>
      <w:r>
        <w:rPr>
          <w:rFonts w:ascii="Times New Roman" w:eastAsia="Times New Roman" w:hAnsi="Times New Roman" w:cs="Times New Roman"/>
          <w:sz w:val="24"/>
          <w:szCs w:val="24"/>
        </w:rPr>
        <w:t>Pethö</w:t>
      </w:r>
      <w:proofErr w:type="spellEnd"/>
      <w:r>
        <w:rPr>
          <w:rFonts w:ascii="Times New Roman" w:eastAsia="Times New Roman" w:hAnsi="Times New Roman" w:cs="Times New Roman"/>
          <w:sz w:val="24"/>
          <w:szCs w:val="24"/>
        </w:rPr>
        <w:t xml:space="preserve"> et al., 2021) , uno que profundiza en los comportamientos de los consumidores gracias al análisis de los patrones de toma de decisiones de los consumidores (</w:t>
      </w:r>
      <w:proofErr w:type="spellStart"/>
      <w:r>
        <w:rPr>
          <w:rFonts w:ascii="Times New Roman" w:eastAsia="Times New Roman" w:hAnsi="Times New Roman" w:cs="Times New Roman"/>
          <w:sz w:val="24"/>
          <w:szCs w:val="24"/>
        </w:rPr>
        <w:t>Eriksson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Stenius</w:t>
      </w:r>
      <w:proofErr w:type="spellEnd"/>
      <w:r>
        <w:rPr>
          <w:rFonts w:ascii="Times New Roman" w:eastAsia="Times New Roman" w:hAnsi="Times New Roman" w:cs="Times New Roman"/>
          <w:sz w:val="24"/>
          <w:szCs w:val="24"/>
        </w:rPr>
        <w:t xml:space="preserve">, 2024) y uno que explora el proceso de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toma de decisiones con herramientas de </w:t>
      </w:r>
      <w:r>
        <w:rPr>
          <w:rFonts w:ascii="Times New Roman" w:eastAsia="Times New Roman" w:hAnsi="Times New Roman" w:cs="Times New Roman"/>
          <w:sz w:val="24"/>
          <w:szCs w:val="24"/>
        </w:rPr>
        <w:lastRenderedPageBreak/>
        <w:t>neuromarketing (</w:t>
      </w:r>
      <w:proofErr w:type="spellStart"/>
      <w:r>
        <w:rPr>
          <w:rFonts w:ascii="Times New Roman" w:eastAsia="Times New Roman" w:hAnsi="Times New Roman" w:cs="Times New Roman"/>
          <w:sz w:val="24"/>
          <w:szCs w:val="24"/>
        </w:rPr>
        <w:t>Georgiadis</w:t>
      </w:r>
      <w:proofErr w:type="spellEnd"/>
      <w:r>
        <w:rPr>
          <w:rFonts w:ascii="Times New Roman" w:eastAsia="Times New Roman" w:hAnsi="Times New Roman" w:cs="Times New Roman"/>
          <w:sz w:val="24"/>
          <w:szCs w:val="24"/>
        </w:rPr>
        <w:t>, 2023) contribuyen a la formación de bases para la presente revisión.</w:t>
      </w:r>
    </w:p>
    <w:p w14:paraId="125A4541" w14:textId="77777777" w:rsidR="006331E1" w:rsidRDefault="006331E1" w:rsidP="006331E1">
      <w:pPr>
        <w:numPr>
          <w:ilvl w:val="0"/>
          <w:numId w:val="8"/>
        </w:numPr>
        <w:spacing w:after="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14:paraId="2C1F93EC" w14:textId="77777777" w:rsidR="006331E1" w:rsidRDefault="006331E1" w:rsidP="006331E1">
      <w:pPr>
        <w:numPr>
          <w:ilvl w:val="1"/>
          <w:numId w:val="8"/>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las evidencias desarrolladas sobre neuromarketing y comportamiento del consumidor.</w:t>
      </w:r>
    </w:p>
    <w:p w14:paraId="527A9F3F" w14:textId="77777777" w:rsidR="006331E1" w:rsidRDefault="006331E1" w:rsidP="006331E1">
      <w:pPr>
        <w:numPr>
          <w:ilvl w:val="0"/>
          <w:numId w:val="8"/>
        </w:numPr>
        <w:spacing w:after="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Específicos</w:t>
      </w:r>
    </w:p>
    <w:p w14:paraId="453C1DE9" w14:textId="77777777" w:rsidR="006331E1" w:rsidRDefault="006331E1" w:rsidP="006331E1">
      <w:pPr>
        <w:numPr>
          <w:ilvl w:val="1"/>
          <w:numId w:val="8"/>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las premisas conceptuales respecto al neuromarketing y el comportamiento del consumidor.</w:t>
      </w:r>
    </w:p>
    <w:p w14:paraId="2E544E4F" w14:textId="77777777" w:rsidR="006331E1" w:rsidRDefault="006331E1" w:rsidP="006331E1">
      <w:pPr>
        <w:numPr>
          <w:ilvl w:val="1"/>
          <w:numId w:val="8"/>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el diseño metodológico utilizado en los estudios de investigación relacionados con el neuromarketing y comportamiento del consumidor.</w:t>
      </w:r>
    </w:p>
    <w:p w14:paraId="734CFE4B" w14:textId="77777777" w:rsidR="006331E1" w:rsidRDefault="006331E1" w:rsidP="006331E1">
      <w:pPr>
        <w:numPr>
          <w:ilvl w:val="1"/>
          <w:numId w:val="8"/>
        </w:num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las conclusiones de las investigaciones desarrolladas sobre el neuromarketing y el comportamiento del consumidor.</w:t>
      </w:r>
    </w:p>
    <w:p w14:paraId="6BC47C07" w14:textId="77777777" w:rsidR="006331E1" w:rsidRDefault="006331E1" w:rsidP="006331E1">
      <w:pPr>
        <w:spacing w:after="10pt" w:line="18pt"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investigación propuesta sobre la influencia del neuromarketing en el comportamiento de compra del consumidor contribuirá a abordar una problemática crucial en el actual panorama empresarial. En un entorno comercial cada vez más competitivo y globalizado, las compañías están continuamente buscando formas innovadoras de destacarse entre sus competidores y atraer la atención de los consumidores. En este contexto competitivo, el neuromarketing emerge como una herramienta innovadora que busca revelar los procesos subconscientes que influyen en las decisiones de compra de los consumidores.</w:t>
      </w:r>
    </w:p>
    <w:p w14:paraId="6BD71140" w14:textId="77777777" w:rsidR="006331E1" w:rsidRDefault="006331E1" w:rsidP="006331E1">
      <w:pPr>
        <w:spacing w:after="10pt" w:line="18pt"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pesar del buen potencial que tiene el neuromarketing, su verdadero alcance y aplicación en mercados reales aún se están explorando con mayor profundidad. Los estudios de investigación iniciales muestran cómo esta técnica optimiza la eficacia de las campañas publicitarias y mejora la experiencia del consumidor. Además, el neuromarketing no solo propone incrementar las ventas e ingresos de las empresas, sino que también genera un gran potencial de mejorar la relación entre los consumidores y las marcas, creando experiencias más personalizadas y satisfactorias.</w:t>
      </w:r>
    </w:p>
    <w:p w14:paraId="32BD9E5D" w14:textId="2D7BC833" w:rsidR="00682EB1" w:rsidRPr="00FC0181" w:rsidRDefault="00A45A1D" w:rsidP="00931FCC">
      <w:pPr>
        <w:spacing w:after="6pt" w:line="18pt" w:lineRule="auto"/>
        <w:ind w:firstLine="35.45pt"/>
        <w:jc w:val="center"/>
        <w:rPr>
          <w:rFonts w:ascii="Palatino Linotype" w:hAnsi="Palatino Linotype" w:cs="Times New Roman"/>
          <w:b/>
          <w:color w:val="00B050"/>
          <w:sz w:val="24"/>
          <w:szCs w:val="24"/>
        </w:rPr>
      </w:pPr>
      <w:r w:rsidRPr="00FC0181">
        <w:rPr>
          <w:rFonts w:ascii="Palatino Linotype" w:hAnsi="Palatino Linotype" w:cs="Times New Roman"/>
          <w:b/>
          <w:color w:val="00B050"/>
          <w:sz w:val="24"/>
          <w:szCs w:val="24"/>
        </w:rPr>
        <w:t>METODOLOGÍA</w:t>
      </w:r>
    </w:p>
    <w:p w14:paraId="2E1EE8DD" w14:textId="77777777" w:rsidR="006331E1" w:rsidRDefault="006331E1" w:rsidP="006331E1">
      <w:pPr>
        <w:spacing w:after="10pt" w:line="18pt" w:lineRule="auto"/>
        <w:jc w:val="both"/>
        <w:rPr>
          <w:rFonts w:ascii="Times New Roman" w:eastAsia="Times New Roman" w:hAnsi="Times New Roman" w:cs="Times New Roman"/>
          <w:sz w:val="24"/>
          <w:szCs w:val="24"/>
        </w:rPr>
      </w:pPr>
      <w:bookmarkStart w:id="3" w:name="_Hlk184634842"/>
      <w:r>
        <w:rPr>
          <w:rFonts w:ascii="Times New Roman" w:eastAsia="Times New Roman" w:hAnsi="Times New Roman" w:cs="Times New Roman"/>
          <w:sz w:val="24"/>
          <w:szCs w:val="24"/>
        </w:rPr>
        <w:t xml:space="preserve">La metodología empleada en la consulta para la presente revisión académica está basada en el sistema utilizado en estudios previos (Rubio-Garay, López-González, Carrasco, </w:t>
      </w:r>
      <w:r>
        <w:rPr>
          <w:rFonts w:ascii="Times New Roman" w:eastAsia="Times New Roman" w:hAnsi="Times New Roman" w:cs="Times New Roman"/>
          <w:sz w:val="24"/>
          <w:szCs w:val="24"/>
        </w:rPr>
        <w:lastRenderedPageBreak/>
        <w:t xml:space="preserve">Amor, 2017). El proceso de selección de documentos se realizó mediante la presente ecuación de búsqueda en los campos denominados título, resumen o palabras clave: [(“neuromarketing”) AND (“2nd </w:t>
      </w:r>
      <w:proofErr w:type="spellStart"/>
      <w:r>
        <w:rPr>
          <w:rFonts w:ascii="Times New Roman" w:eastAsia="Times New Roman" w:hAnsi="Times New Roman" w:cs="Times New Roman"/>
          <w:sz w:val="24"/>
          <w:szCs w:val="24"/>
        </w:rPr>
        <w:t>Term</w:t>
      </w:r>
      <w:proofErr w:type="spellEnd"/>
      <w:r>
        <w:rPr>
          <w:rFonts w:ascii="Times New Roman" w:eastAsia="Times New Roman" w:hAnsi="Times New Roman" w:cs="Times New Roman"/>
          <w:sz w:val="24"/>
          <w:szCs w:val="24"/>
        </w:rPr>
        <w:t xml:space="preserve">”)], donde “2nd </w:t>
      </w:r>
      <w:proofErr w:type="spellStart"/>
      <w:r>
        <w:rPr>
          <w:rFonts w:ascii="Times New Roman" w:eastAsia="Times New Roman" w:hAnsi="Times New Roman" w:cs="Times New Roman"/>
          <w:sz w:val="24"/>
          <w:szCs w:val="24"/>
        </w:rPr>
        <w:t>Term</w:t>
      </w:r>
      <w:proofErr w:type="spellEnd"/>
      <w:r>
        <w:rPr>
          <w:rFonts w:ascii="Times New Roman" w:eastAsia="Times New Roman" w:hAnsi="Times New Roman" w:cs="Times New Roman"/>
          <w:sz w:val="24"/>
          <w:szCs w:val="24"/>
        </w:rPr>
        <w:t xml:space="preserve">” se refiere a la segunda variable cruzada; la cual varía en propósito de investigación e idioma. Los posibles propósitos de investigación evaluados en la segunda variable son “consumidor”, “comportamiento del consumidor” y “publicidad”. La consulta de documentos se realizó en las bases de datos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y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w:t>
      </w:r>
    </w:p>
    <w:p w14:paraId="72D83435"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documentos recopilados acataron restricciones de idioma (español, inglés y </w:t>
      </w:r>
      <w:proofErr w:type="spellStart"/>
      <w:r>
        <w:rPr>
          <w:rFonts w:ascii="Times New Roman" w:eastAsia="Times New Roman" w:hAnsi="Times New Roman" w:cs="Times New Roman"/>
          <w:sz w:val="24"/>
          <w:szCs w:val="24"/>
        </w:rPr>
        <w:t>portugues</w:t>
      </w:r>
      <w:proofErr w:type="spellEnd"/>
      <w:r>
        <w:rPr>
          <w:rFonts w:ascii="Times New Roman" w:eastAsia="Times New Roman" w:hAnsi="Times New Roman" w:cs="Times New Roman"/>
          <w:sz w:val="24"/>
          <w:szCs w:val="24"/>
        </w:rPr>
        <w:t xml:space="preserve">), acceso (abierto), tipo (artículo), región (Europa) y área temática (Business, </w:t>
      </w:r>
      <w:proofErr w:type="spellStart"/>
      <w:r>
        <w:rPr>
          <w:rFonts w:ascii="Times New Roman" w:eastAsia="Times New Roman" w:hAnsi="Times New Roman" w:cs="Times New Roman"/>
          <w:sz w:val="24"/>
          <w:szCs w:val="24"/>
        </w:rPr>
        <w:t>communication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management</w:t>
      </w:r>
      <w:proofErr w:type="spellEnd"/>
      <w:r>
        <w:rPr>
          <w:rFonts w:ascii="Times New Roman" w:eastAsia="Times New Roman" w:hAnsi="Times New Roman" w:cs="Times New Roman"/>
          <w:sz w:val="24"/>
          <w:szCs w:val="24"/>
        </w:rPr>
        <w:t>). Asimismo, se fijó enero de 2019 como límite inferior del periodo de análisis.</w:t>
      </w:r>
    </w:p>
    <w:p w14:paraId="6B57D1DB" w14:textId="77777777" w:rsidR="006331E1" w:rsidRDefault="006331E1" w:rsidP="006331E1">
      <w:pPr>
        <w:spacing w:after="10pt" w:line="18pt" w:lineRule="auto"/>
        <w:jc w:val="both"/>
        <w:rPr>
          <w:rFonts w:ascii="Times New Roman" w:eastAsia="Times New Roman" w:hAnsi="Times New Roman" w:cs="Times New Roman"/>
          <w:sz w:val="24"/>
          <w:szCs w:val="24"/>
        </w:rPr>
      </w:pPr>
    </w:p>
    <w:p w14:paraId="231AC176" w14:textId="77777777" w:rsidR="006331E1" w:rsidRDefault="006331E1" w:rsidP="006331E1">
      <w:pPr>
        <w:spacing w:after="10pt" w:line="18pt" w:lineRule="auto"/>
        <w:jc w:val="both"/>
        <w:rPr>
          <w:rFonts w:ascii="Times New Roman" w:eastAsia="Times New Roman" w:hAnsi="Times New Roman" w:cs="Times New Roman"/>
          <w:sz w:val="24"/>
          <w:szCs w:val="24"/>
        </w:rPr>
      </w:pPr>
    </w:p>
    <w:p w14:paraId="547C8BEE" w14:textId="77777777" w:rsidR="006331E1" w:rsidRDefault="006331E1" w:rsidP="006331E1">
      <w:pPr>
        <w:spacing w:after="10pt" w:line="18pt"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Figura 1.</w:t>
      </w:r>
      <w:r>
        <w:rPr>
          <w:rFonts w:ascii="Times New Roman" w:eastAsia="Times New Roman" w:hAnsi="Times New Roman" w:cs="Times New Roman"/>
          <w:b/>
          <w:sz w:val="24"/>
          <w:szCs w:val="24"/>
        </w:rPr>
        <w:t xml:space="preserve"> Proceso de Revisión Prisma</w:t>
      </w:r>
    </w:p>
    <w:p w14:paraId="49110EEA" w14:textId="77777777" w:rsidR="006331E1" w:rsidRDefault="006331E1" w:rsidP="006331E1">
      <w:pPr>
        <w:spacing w:after="10p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1876364" wp14:editId="5D29EF7D">
            <wp:extent cx="5745600" cy="5435600"/>
            <wp:effectExtent l="0" t="0" r="0" b="0"/>
            <wp:docPr id="3" name="image3.png" descr="Diagrama, Texto&#10;&#10;Descripción generada automáticamente"/>
            <wp:cNvGraphicFramePr/>
            <a:graphic xmlns:a="http://purl.oclc.org/ooxml/drawingml/main">
              <a:graphicData uri="http://purl.oclc.org/ooxml/drawingml/picture">
                <pic:pic xmlns:pic="http://purl.oclc.org/ooxml/drawingml/picture">
                  <pic:nvPicPr>
                    <pic:cNvPr id="3" name="image3.png" descr="Diagrama, Texto&#10;&#10;Descripción generada automáticamente"/>
                    <pic:cNvPicPr preferRelativeResize="0"/>
                  </pic:nvPicPr>
                  <pic:blipFill>
                    <a:blip r:embed="rId21"/>
                    <a:srcRect/>
                    <a:stretch>
                      <a:fillRect/>
                    </a:stretch>
                  </pic:blipFill>
                  <pic:spPr>
                    <a:xfrm>
                      <a:off x="0" y="0"/>
                      <a:ext cx="5745600" cy="5435600"/>
                    </a:xfrm>
                    <a:prstGeom prst="rect">
                      <a:avLst/>
                    </a:prstGeom>
                    <a:ln/>
                  </pic:spPr>
                </pic:pic>
              </a:graphicData>
            </a:graphic>
          </wp:inline>
        </w:drawing>
      </w:r>
    </w:p>
    <w:p w14:paraId="2E75FE9A" w14:textId="77777777" w:rsidR="006331E1" w:rsidRDefault="006331E1" w:rsidP="006331E1">
      <w:pPr>
        <w:spacing w:after="1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7FB51A61" w14:textId="77777777" w:rsidR="006331E1" w:rsidRDefault="006331E1" w:rsidP="006331E1">
      <w:pPr>
        <w:spacing w:after="10pt" w:line="18pt" w:lineRule="auto"/>
        <w:jc w:val="both"/>
        <w:rPr>
          <w:rFonts w:ascii="Times New Roman" w:eastAsia="Times New Roman" w:hAnsi="Times New Roman" w:cs="Times New Roman"/>
          <w:sz w:val="24"/>
          <w:szCs w:val="24"/>
        </w:rPr>
      </w:pPr>
    </w:p>
    <w:p w14:paraId="61C20388" w14:textId="77777777" w:rsidR="006331E1" w:rsidRDefault="006331E1" w:rsidP="006331E1">
      <w:pPr>
        <w:numPr>
          <w:ilvl w:val="0"/>
          <w:numId w:val="9"/>
        </w:num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 de participantes: Jóvenes y adultos sin un rango de edad en específico, de ambos géneros que consuman productos masivos expuestos e influidos por campañas y promoción en la fecha de realización del estudio o en momentos anteriores, que hayan apostado por el neuromarketing para impulsar las ventas.</w:t>
      </w:r>
    </w:p>
    <w:p w14:paraId="6B0E61D4" w14:textId="77777777" w:rsidR="006331E1" w:rsidRDefault="006331E1" w:rsidP="006331E1">
      <w:pPr>
        <w:numPr>
          <w:ilvl w:val="0"/>
          <w:numId w:val="9"/>
        </w:num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 de estudios: Estudios secundarios de artículos pasados sobre aspectos como la influencia de estímulos de neuromarketing en las decisiones de compra del consumidor, la respuesta emocional y técnicas del neuromarketing.</w:t>
      </w:r>
    </w:p>
    <w:p w14:paraId="21CBF1A9" w14:textId="77777777" w:rsidR="006331E1" w:rsidRDefault="006331E1" w:rsidP="006331E1">
      <w:pPr>
        <w:numPr>
          <w:ilvl w:val="0"/>
          <w:numId w:val="9"/>
        </w:num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Tipo de medidas de resultados: se va considerar estudios que hayan utilizado indicadores subjetivos, como encuestas de percepción al consumidor hacia el neuromarketing y su influencia en la compra.</w:t>
      </w:r>
    </w:p>
    <w:p w14:paraId="2802ACC0" w14:textId="77777777" w:rsidR="006331E1" w:rsidRDefault="006331E1" w:rsidP="006331E1">
      <w:pPr>
        <w:numPr>
          <w:ilvl w:val="0"/>
          <w:numId w:val="9"/>
        </w:num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 de diseños: Se van a tomar en cuenta estudios con técnica de muestreo probabilístico, en el cuál serán evaluados 20 artículos con relación al Neuromarketing y la influencia que tiene en la compra de los consumidores.</w:t>
      </w:r>
    </w:p>
    <w:p w14:paraId="09A9F8C0"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consideración de los criterios de exclusión, hemos seleccionado artículos con un tipo de acceso abierto en los periodos de año (2019 - 2024), de los idiomas español, </w:t>
      </w:r>
      <w:proofErr w:type="spellStart"/>
      <w:r>
        <w:rPr>
          <w:rFonts w:ascii="Times New Roman" w:eastAsia="Times New Roman" w:hAnsi="Times New Roman" w:cs="Times New Roman"/>
          <w:sz w:val="24"/>
          <w:szCs w:val="24"/>
        </w:rPr>
        <w:t>portugues</w:t>
      </w:r>
      <w:proofErr w:type="spellEnd"/>
      <w:r>
        <w:rPr>
          <w:rFonts w:ascii="Times New Roman" w:eastAsia="Times New Roman" w:hAnsi="Times New Roman" w:cs="Times New Roman"/>
          <w:sz w:val="24"/>
          <w:szCs w:val="24"/>
        </w:rPr>
        <w:t xml:space="preserve"> e inglés, ubicados geográficamente en Europa y con temática de negocios, comunicación y gestión/administración.</w:t>
      </w:r>
    </w:p>
    <w:p w14:paraId="58B89DAA" w14:textId="77777777" w:rsidR="006331E1" w:rsidRDefault="006331E1" w:rsidP="006331E1">
      <w:pPr>
        <w:spacing w:after="10pt"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Tabla 1. Artículos incluidos de la revisión</w:t>
      </w:r>
    </w:p>
    <w:p w14:paraId="3D855A46" w14:textId="77777777" w:rsidR="006331E1" w:rsidRDefault="006331E1" w:rsidP="006331E1">
      <w:pPr>
        <w:spacing w:after="10pt" w:line="18pt"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9C622B" wp14:editId="2CD57BF5">
            <wp:extent cx="5745600" cy="2908300"/>
            <wp:effectExtent l="0" t="0" r="0" b="0"/>
            <wp:docPr id="1048005228" name="image4.jpg" descr="Tabla&#10;&#10;Descripción generada automáticamente con confianza baja"/>
            <wp:cNvGraphicFramePr/>
            <a:graphic xmlns:a="http://purl.oclc.org/ooxml/drawingml/main">
              <a:graphicData uri="http://purl.oclc.org/ooxml/drawingml/picture">
                <pic:pic xmlns:pic="http://purl.oclc.org/ooxml/drawingml/picture">
                  <pic:nvPicPr>
                    <pic:cNvPr id="1048005228" name="image4.jpg" descr="Tabla&#10;&#10;Descripción generada automáticamente con confianza baja"/>
                    <pic:cNvPicPr preferRelativeResize="0"/>
                  </pic:nvPicPr>
                  <pic:blipFill>
                    <a:blip r:embed="rId22"/>
                    <a:srcRect/>
                    <a:stretch>
                      <a:fillRect/>
                    </a:stretch>
                  </pic:blipFill>
                  <pic:spPr>
                    <a:xfrm>
                      <a:off x="0" y="0"/>
                      <a:ext cx="5745600" cy="2908300"/>
                    </a:xfrm>
                    <a:prstGeom prst="rect">
                      <a:avLst/>
                    </a:prstGeom>
                    <a:ln/>
                  </pic:spPr>
                </pic:pic>
              </a:graphicData>
            </a:graphic>
          </wp:inline>
        </w:drawing>
      </w:r>
    </w:p>
    <w:p w14:paraId="3FE50F43" w14:textId="77777777" w:rsidR="006331E1" w:rsidRDefault="006331E1" w:rsidP="006331E1">
      <w:pPr>
        <w:spacing w:after="1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362C37EF" w14:textId="77777777" w:rsidR="00D51211" w:rsidRDefault="00D51211" w:rsidP="00D51211">
      <w:pPr>
        <w:widowControl w:val="0"/>
        <w:spacing w:line="18pt" w:lineRule="auto"/>
        <w:jc w:val="both"/>
        <w:rPr>
          <w:rFonts w:ascii="Times New Roman" w:eastAsia="Times New Roman" w:hAnsi="Times New Roman" w:cs="Times New Roman"/>
          <w:sz w:val="24"/>
          <w:szCs w:val="24"/>
        </w:rPr>
      </w:pPr>
    </w:p>
    <w:p w14:paraId="6268D27A" w14:textId="77777777" w:rsidR="006331E1" w:rsidRDefault="006331E1" w:rsidP="00D51211">
      <w:pPr>
        <w:widowControl w:val="0"/>
        <w:spacing w:line="18pt" w:lineRule="auto"/>
        <w:jc w:val="both"/>
        <w:rPr>
          <w:rFonts w:ascii="Times New Roman" w:eastAsia="Times New Roman" w:hAnsi="Times New Roman" w:cs="Times New Roman"/>
          <w:sz w:val="24"/>
          <w:szCs w:val="24"/>
        </w:rPr>
      </w:pPr>
    </w:p>
    <w:bookmarkEnd w:id="3"/>
    <w:p w14:paraId="0CB365DB" w14:textId="46AC55D4" w:rsidR="00D51211" w:rsidRDefault="00D51211" w:rsidP="00931FCC">
      <w:pPr>
        <w:spacing w:after="6pt" w:line="18pt" w:lineRule="auto"/>
        <w:ind w:firstLine="35.45pt"/>
        <w:jc w:val="center"/>
        <w:rPr>
          <w:rFonts w:ascii="Palatino Linotype" w:hAnsi="Palatino Linotype"/>
          <w:b/>
          <w:bCs/>
          <w:color w:val="00B050"/>
        </w:rPr>
      </w:pPr>
      <w:r>
        <w:rPr>
          <w:rFonts w:ascii="Palatino Linotype" w:hAnsi="Palatino Linotype"/>
          <w:b/>
          <w:bCs/>
          <w:color w:val="00B050"/>
        </w:rPr>
        <w:t>RESULTADOS</w:t>
      </w:r>
      <w:r w:rsidR="00FD7A27">
        <w:rPr>
          <w:rFonts w:ascii="Palatino Linotype" w:hAnsi="Palatino Linotype"/>
          <w:b/>
          <w:bCs/>
          <w:color w:val="00B050"/>
        </w:rPr>
        <w:t xml:space="preserve"> Y DISCUSIÓN</w:t>
      </w:r>
    </w:p>
    <w:p w14:paraId="2F92B195"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Objetivo específico 1: Analizar las premisas conceptuales respecto al neuromarketing y el comportamiento del consumidor.</w:t>
      </w:r>
    </w:p>
    <w:p w14:paraId="29B37EA4"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 referente a la conceptualización de los términos clave explorados en esta revisión, se detalla de manera concisa un compendio de la información transcrita por los autores de los artículos evaluados. Por un lado, el comportamiento del consumidor es definido por la mayoría de las investigaciones evaluadas como la respuesta de un individuo, basada en una necesidad, que parte de una necesidad, ante los estímulos de marketing, en sus vastas y diversas aristas. A partir de Alvino et al. (2019) y Juárez-</w:t>
      </w:r>
      <w:proofErr w:type="spellStart"/>
      <w:r>
        <w:rPr>
          <w:rFonts w:ascii="Times New Roman" w:eastAsia="Times New Roman" w:hAnsi="Times New Roman" w:cs="Times New Roman"/>
          <w:sz w:val="24"/>
          <w:szCs w:val="24"/>
        </w:rPr>
        <w:t>Varon</w:t>
      </w:r>
      <w:proofErr w:type="spellEnd"/>
      <w:r>
        <w:rPr>
          <w:rFonts w:ascii="Times New Roman" w:eastAsia="Times New Roman" w:hAnsi="Times New Roman" w:cs="Times New Roman"/>
          <w:sz w:val="24"/>
          <w:szCs w:val="24"/>
        </w:rPr>
        <w:t xml:space="preserve"> et al. (2023), se infiere que estás acciones y decisiones abarcan todas las etapa del proceso de compra; lo que a su vez implica la posibilidad de que una marca influya en estos comportamientos. Por otro lado, mediante los artículos recopilados se puede denominar al neuromarketing como una disciplina que busca estudiar y entender el comportamiento del consumidor mediante en base a la neurociencia. Ello a su vez implica la determinación del grado de influencia de herramientas de marketing gracias a la retroalimentación proporcionada al emplear tácticas y herramientas de neurociencia para estudiar los estímulos de marketing.</w:t>
      </w:r>
    </w:p>
    <w:p w14:paraId="660E276D" w14:textId="77777777" w:rsidR="006331E1" w:rsidRDefault="006331E1" w:rsidP="006331E1">
      <w:pPr>
        <w:spacing w:after="10p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Tabla 2.</w:t>
      </w:r>
      <w:r>
        <w:rPr>
          <w:rFonts w:ascii="Times New Roman" w:eastAsia="Times New Roman" w:hAnsi="Times New Roman" w:cs="Times New Roman"/>
          <w:b/>
          <w:sz w:val="24"/>
          <w:szCs w:val="24"/>
        </w:rPr>
        <w:t xml:space="preserve"> Premisas conceptuales</w:t>
      </w:r>
    </w:p>
    <w:tbl>
      <w:tblPr>
        <w:tblW w:w="477pt" w:type="dxa"/>
        <w:jc w:val="center"/>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Look w:firstRow="0" w:lastRow="0" w:firstColumn="0" w:lastColumn="0" w:noHBand="1" w:noVBand="1"/>
      </w:tblPr>
      <w:tblGrid>
        <w:gridCol w:w="1950"/>
        <w:gridCol w:w="7590"/>
      </w:tblGrid>
      <w:tr w:rsidR="006331E1" w14:paraId="421EB43F"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480B763C"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Autor</w:t>
            </w:r>
          </w:p>
        </w:tc>
        <w:tc>
          <w:tcPr>
            <w:tcW w:w="379.50pt" w:type="dxa"/>
            <w:tcBorders>
              <w:start w:val="nil"/>
              <w:end w:val="nil"/>
            </w:tcBorders>
            <w:shd w:val="clear" w:color="auto" w:fill="auto"/>
            <w:tcMar>
              <w:top w:w="5pt" w:type="dxa"/>
              <w:start w:w="5pt" w:type="dxa"/>
              <w:bottom w:w="5pt" w:type="dxa"/>
              <w:end w:w="5pt" w:type="dxa"/>
            </w:tcMar>
          </w:tcPr>
          <w:p w14:paraId="7AC3BC60"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Premisas conceptuales</w:t>
            </w:r>
          </w:p>
        </w:tc>
      </w:tr>
      <w:tr w:rsidR="006331E1" w14:paraId="09AC567E" w14:textId="77777777" w:rsidTr="00654BC5">
        <w:trPr>
          <w:trHeight w:val="2793"/>
          <w:tblHeader/>
          <w:jc w:val="center"/>
        </w:trPr>
        <w:tc>
          <w:tcPr>
            <w:tcW w:w="97.50pt" w:type="dxa"/>
            <w:tcBorders>
              <w:start w:val="nil"/>
              <w:end w:val="nil"/>
            </w:tcBorders>
            <w:shd w:val="clear" w:color="auto" w:fill="auto"/>
            <w:tcMar>
              <w:top w:w="5pt" w:type="dxa"/>
              <w:start w:w="5pt" w:type="dxa"/>
              <w:bottom w:w="5pt" w:type="dxa"/>
              <w:end w:w="5pt" w:type="dxa"/>
            </w:tcMar>
          </w:tcPr>
          <w:p w14:paraId="2EF5BB04"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Bercík</w:t>
            </w:r>
            <w:proofErr w:type="spellEnd"/>
            <w:r>
              <w:rPr>
                <w:rFonts w:ascii="Times New Roman" w:eastAsia="Times New Roman" w:hAnsi="Times New Roman" w:cs="Times New Roman"/>
                <w:sz w:val="24"/>
                <w:szCs w:val="24"/>
              </w:rPr>
              <w:t xml:space="preserve"> et al. (2024)</w:t>
            </w:r>
          </w:p>
        </w:tc>
        <w:tc>
          <w:tcPr>
            <w:tcW w:w="379.50pt" w:type="dxa"/>
            <w:tcBorders>
              <w:start w:val="nil"/>
              <w:end w:val="nil"/>
            </w:tcBorders>
            <w:shd w:val="clear" w:color="auto" w:fill="auto"/>
            <w:tcMar>
              <w:top w:w="5pt" w:type="dxa"/>
              <w:start w:w="5pt" w:type="dxa"/>
              <w:bottom w:w="5pt" w:type="dxa"/>
              <w:end w:w="5pt" w:type="dxa"/>
            </w:tcMar>
          </w:tcPr>
          <w:p w14:paraId="24145209"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del consumidor es un tema de interés en muchos estudios en diferentes campos, que se centran principalmente en hacer que los productos sean más atractivos para los consumidores.</w:t>
            </w:r>
          </w:p>
          <w:p w14:paraId="3A9BE4FB"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neuromarketing o neurociencia del consumidor combina perspectivas del marketing, la neurociencia, la economía, la teoría de la decisión y la psicología.</w:t>
            </w:r>
          </w:p>
        </w:tc>
      </w:tr>
      <w:tr w:rsidR="006331E1" w14:paraId="37B551BE"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337EC311"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Kakaria</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shd w:val="clear" w:color="auto" w:fill="auto"/>
            <w:tcMar>
              <w:top w:w="5pt" w:type="dxa"/>
              <w:start w:w="5pt" w:type="dxa"/>
              <w:bottom w:w="5pt" w:type="dxa"/>
              <w:end w:w="5pt" w:type="dxa"/>
            </w:tcMar>
          </w:tcPr>
          <w:p w14:paraId="210E2BDC"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Comportamiento de compra planificado y no planificado en un marco de estímulo-organismo-respuesta (SOR). Este enfoque integrador conducirá a una mejor comprensión de las dimensiones que influyen en las compras no planificadas y contribuirá al desarrollo del comercio virtual como canal de distribución.</w:t>
            </w:r>
          </w:p>
        </w:tc>
      </w:tr>
      <w:tr w:rsidR="006331E1" w14:paraId="25978823" w14:textId="77777777" w:rsidTr="00654BC5">
        <w:trPr>
          <w:trHeight w:val="1759"/>
          <w:tblHeader/>
          <w:jc w:val="center"/>
        </w:trPr>
        <w:tc>
          <w:tcPr>
            <w:tcW w:w="97.50pt" w:type="dxa"/>
            <w:tcBorders>
              <w:start w:val="nil"/>
              <w:end w:val="nil"/>
            </w:tcBorders>
            <w:shd w:val="clear" w:color="auto" w:fill="auto"/>
            <w:tcMar>
              <w:top w:w="5pt" w:type="dxa"/>
              <w:start w:w="5pt" w:type="dxa"/>
              <w:bottom w:w="5pt" w:type="dxa"/>
              <w:end w:w="5pt" w:type="dxa"/>
            </w:tcMar>
          </w:tcPr>
          <w:p w14:paraId="420DB00E"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Juárez </w:t>
            </w:r>
            <w:proofErr w:type="spellStart"/>
            <w:r>
              <w:rPr>
                <w:rFonts w:ascii="Times New Roman" w:eastAsia="Times New Roman" w:hAnsi="Times New Roman" w:cs="Times New Roman"/>
                <w:sz w:val="24"/>
                <w:szCs w:val="24"/>
              </w:rPr>
              <w:t>Varon</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shd w:val="clear" w:color="auto" w:fill="auto"/>
            <w:tcMar>
              <w:top w:w="5pt" w:type="dxa"/>
              <w:start w:w="5pt" w:type="dxa"/>
              <w:bottom w:w="5pt" w:type="dxa"/>
              <w:end w:w="5pt" w:type="dxa"/>
            </w:tcMar>
          </w:tcPr>
          <w:p w14:paraId="2227CE3F"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neuromarketing combina la neurociencia y el marketing para analizar las reacciones cerebrales que desencadenan los estímulos del marketing y la comunicación en los consumidores. </w:t>
            </w:r>
          </w:p>
          <w:p w14:paraId="6C201376"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del consumidor es importante porque se refiere a las acciones de una persona u organización desde el origen de una necesidad hasta la compra y uso de un producto o servicio.</w:t>
            </w:r>
          </w:p>
        </w:tc>
      </w:tr>
      <w:tr w:rsidR="006331E1" w14:paraId="110B5E22"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414E5A57"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Laeng</w:t>
            </w:r>
            <w:proofErr w:type="spellEnd"/>
            <w:r>
              <w:rPr>
                <w:rFonts w:ascii="Times New Roman" w:eastAsia="Times New Roman" w:hAnsi="Times New Roman" w:cs="Times New Roman"/>
                <w:sz w:val="24"/>
                <w:szCs w:val="24"/>
              </w:rPr>
              <w:t xml:space="preserve"> et al. (2016)</w:t>
            </w:r>
          </w:p>
        </w:tc>
        <w:tc>
          <w:tcPr>
            <w:tcW w:w="379.50pt" w:type="dxa"/>
            <w:tcBorders>
              <w:start w:val="nil"/>
              <w:end w:val="nil"/>
            </w:tcBorders>
            <w:shd w:val="clear" w:color="auto" w:fill="auto"/>
            <w:tcMar>
              <w:top w:w="5pt" w:type="dxa"/>
              <w:start w:w="5pt" w:type="dxa"/>
              <w:bottom w:w="5pt" w:type="dxa"/>
              <w:end w:w="5pt" w:type="dxa"/>
            </w:tcMar>
          </w:tcPr>
          <w:p w14:paraId="75EC9B36"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del neuromarketing es establecer una teoría neuropsicológica sólida que permita comprender el comportamiento del consumidor combinando diferentes métodos y técnicas neurocientíficas especializadas en la atención visual y la investigación cognitiva. </w:t>
            </w:r>
          </w:p>
        </w:tc>
      </w:tr>
      <w:tr w:rsidR="006331E1" w14:paraId="1A826039"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7C26E709"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Garcia</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shd w:val="clear" w:color="auto" w:fill="auto"/>
            <w:tcMar>
              <w:top w:w="5pt" w:type="dxa"/>
              <w:start w:w="5pt" w:type="dxa"/>
              <w:bottom w:w="5pt" w:type="dxa"/>
              <w:end w:w="5pt" w:type="dxa"/>
            </w:tcMar>
          </w:tcPr>
          <w:p w14:paraId="7B7A364F"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 es crucial identificar los elementos en los que los consumidores centran su atención en cómo exploran determinados estímulos. Muchos estudios han utilizado la técnica de seguimiento ocular (ET) para medir la atención visual de los consumidores y comprender cómo procesan la información de un anuncio y medir su efectividad.</w:t>
            </w:r>
          </w:p>
        </w:tc>
      </w:tr>
      <w:tr w:rsidR="006331E1" w14:paraId="5822CEA5" w14:textId="77777777" w:rsidTr="00654BC5">
        <w:trPr>
          <w:tblHeader/>
          <w:jc w:val="center"/>
        </w:trPr>
        <w:tc>
          <w:tcPr>
            <w:tcW w:w="97.50pt" w:type="dxa"/>
            <w:tcBorders>
              <w:start w:val="nil"/>
              <w:end w:val="nil"/>
            </w:tcBorders>
            <w:tcMar>
              <w:top w:w="5pt" w:type="dxa"/>
              <w:start w:w="5pt" w:type="dxa"/>
              <w:bottom w:w="5pt" w:type="dxa"/>
              <w:end w:w="5pt" w:type="dxa"/>
            </w:tcMar>
          </w:tcPr>
          <w:p w14:paraId="16B2375D"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Marko</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tcMar>
              <w:top w:w="5pt" w:type="dxa"/>
              <w:start w:w="5pt" w:type="dxa"/>
              <w:bottom w:w="5pt" w:type="dxa"/>
              <w:end w:w="5pt" w:type="dxa"/>
            </w:tcMar>
          </w:tcPr>
          <w:p w14:paraId="4E02974B"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comportamiento del consumidor se refiere a las acciones y decisiones que los individuos toman al realizar compras, influenciadas por factores como la disponibilidad de productos, la publicidad, y sus propios valores y preferencias. </w:t>
            </w:r>
          </w:p>
          <w:p w14:paraId="5472EE0A"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Neuromarketing es una herramienta que se emplea para investigar la relación entre la confianza de los consumidores en ciertas generaciones y su educación en sostenibilidad.</w:t>
            </w:r>
          </w:p>
        </w:tc>
      </w:tr>
      <w:tr w:rsidR="006331E1" w14:paraId="50F01E6C" w14:textId="77777777" w:rsidTr="00654BC5">
        <w:trPr>
          <w:tblHeader/>
          <w:jc w:val="center"/>
        </w:trPr>
        <w:tc>
          <w:tcPr>
            <w:tcW w:w="97.50pt" w:type="dxa"/>
            <w:tcBorders>
              <w:start w:val="nil"/>
              <w:end w:val="nil"/>
            </w:tcBorders>
            <w:tcMar>
              <w:top w:w="5pt" w:type="dxa"/>
              <w:start w:w="5pt" w:type="dxa"/>
              <w:bottom w:w="5pt" w:type="dxa"/>
              <w:end w:w="5pt" w:type="dxa"/>
            </w:tcMar>
          </w:tcPr>
          <w:p w14:paraId="4A5E880D"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Baldo et al. (2022)</w:t>
            </w:r>
          </w:p>
        </w:tc>
        <w:tc>
          <w:tcPr>
            <w:tcW w:w="379.50pt" w:type="dxa"/>
            <w:tcBorders>
              <w:start w:val="nil"/>
              <w:end w:val="nil"/>
            </w:tcBorders>
            <w:tcMar>
              <w:top w:w="5pt" w:type="dxa"/>
              <w:start w:w="5pt" w:type="dxa"/>
              <w:bottom w:w="5pt" w:type="dxa"/>
              <w:end w:w="5pt" w:type="dxa"/>
            </w:tcMar>
          </w:tcPr>
          <w:p w14:paraId="27963B15"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comportamiento del consumidor abarca acciones y decisiones que los individuos ante estímulos de marketing, influenciadas por respuestas neurofisiológicas específicas como el intervalo entre latidos del corazón, la conductancia de la piel y la asimetría frontal alfa del EEG, que están asociadas con emociones como la valencia emocional y el </w:t>
            </w:r>
            <w:proofErr w:type="spellStart"/>
            <w:r>
              <w:rPr>
                <w:rFonts w:ascii="Times New Roman" w:eastAsia="Times New Roman" w:hAnsi="Times New Roman" w:cs="Times New Roman"/>
                <w:sz w:val="24"/>
                <w:szCs w:val="24"/>
              </w:rPr>
              <w:t>arousal</w:t>
            </w:r>
            <w:proofErr w:type="spellEnd"/>
          </w:p>
          <w:p w14:paraId="49655EBC"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Neuromarketing es una disciplina de investigación que utiliza métodos neurofisiológicos para obtener información predictiva más allá de los métodos tradicionales de encuestas en contextos de marketing. </w:t>
            </w:r>
          </w:p>
        </w:tc>
      </w:tr>
      <w:tr w:rsidR="006331E1" w14:paraId="771077D1" w14:textId="77777777" w:rsidTr="00654BC5">
        <w:trPr>
          <w:tblHeader/>
          <w:jc w:val="center"/>
        </w:trPr>
        <w:tc>
          <w:tcPr>
            <w:tcW w:w="97.50pt" w:type="dxa"/>
            <w:tcBorders>
              <w:start w:val="nil"/>
              <w:end w:val="nil"/>
            </w:tcBorders>
            <w:tcMar>
              <w:top w:w="5pt" w:type="dxa"/>
              <w:start w:w="5pt" w:type="dxa"/>
              <w:bottom w:w="5pt" w:type="dxa"/>
              <w:end w:w="5pt" w:type="dxa"/>
            </w:tcMar>
          </w:tcPr>
          <w:p w14:paraId="26CC040E"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Martinez</w:t>
            </w:r>
            <w:proofErr w:type="spellEnd"/>
            <w:r>
              <w:rPr>
                <w:rFonts w:ascii="Times New Roman" w:eastAsia="Times New Roman" w:hAnsi="Times New Roman" w:cs="Times New Roman"/>
                <w:sz w:val="24"/>
                <w:szCs w:val="24"/>
              </w:rPr>
              <w:t>-Levy et al. (2021)</w:t>
            </w:r>
          </w:p>
        </w:tc>
        <w:tc>
          <w:tcPr>
            <w:tcW w:w="379.50pt" w:type="dxa"/>
            <w:tcBorders>
              <w:start w:val="nil"/>
              <w:end w:val="nil"/>
            </w:tcBorders>
            <w:tcMar>
              <w:top w:w="5pt" w:type="dxa"/>
              <w:start w:w="5pt" w:type="dxa"/>
              <w:bottom w:w="5pt" w:type="dxa"/>
              <w:end w:w="5pt" w:type="dxa"/>
            </w:tcMar>
          </w:tcPr>
          <w:p w14:paraId="7BC4595C"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Comportamiento del consumidor, en el contexto del artículo, se refiere a cómo las respuestas neurofisiológicas y emocionales influencian las decisiones de los individuos al considerar hacer una donación</w:t>
            </w:r>
          </w:p>
          <w:p w14:paraId="36A51B2E"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Neuromarketing es una disciplina de investigación que aplica técnicas de neurociencia para medir y estudiar las reacciones cerebrales, emocionales y de atención visual de los espectadores durante la observación de anuncios publicitarios.</w:t>
            </w:r>
          </w:p>
        </w:tc>
      </w:tr>
      <w:tr w:rsidR="006331E1" w14:paraId="2BB7A0F4" w14:textId="77777777" w:rsidTr="00654BC5">
        <w:trPr>
          <w:tblHeader/>
          <w:jc w:val="center"/>
        </w:trPr>
        <w:tc>
          <w:tcPr>
            <w:tcW w:w="97.50pt" w:type="dxa"/>
            <w:tcBorders>
              <w:start w:val="nil"/>
              <w:end w:val="nil"/>
            </w:tcBorders>
            <w:tcMar>
              <w:top w:w="5pt" w:type="dxa"/>
              <w:start w:w="5pt" w:type="dxa"/>
              <w:bottom w:w="5pt" w:type="dxa"/>
              <w:end w:w="5pt" w:type="dxa"/>
            </w:tcMar>
          </w:tcPr>
          <w:p w14:paraId="4DD19166"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Boscolo</w:t>
            </w:r>
            <w:proofErr w:type="spellEnd"/>
            <w:r>
              <w:rPr>
                <w:rFonts w:ascii="Times New Roman" w:eastAsia="Times New Roman" w:hAnsi="Times New Roman" w:cs="Times New Roman"/>
                <w:sz w:val="24"/>
                <w:szCs w:val="24"/>
              </w:rPr>
              <w:t xml:space="preserve"> et al. (2021)</w:t>
            </w:r>
          </w:p>
        </w:tc>
        <w:tc>
          <w:tcPr>
            <w:tcW w:w="379.50pt" w:type="dxa"/>
            <w:tcBorders>
              <w:start w:val="nil"/>
              <w:end w:val="nil"/>
            </w:tcBorders>
            <w:tcMar>
              <w:top w:w="5pt" w:type="dxa"/>
              <w:start w:w="5pt" w:type="dxa"/>
              <w:bottom w:w="5pt" w:type="dxa"/>
              <w:end w:w="5pt" w:type="dxa"/>
            </w:tcMar>
          </w:tcPr>
          <w:p w14:paraId="7BC3D549"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Neuromarketing es un conjunto de técnicas que investigan las intenciones, comportamientos y reacciones de los consumidores profundamente, superando la información obtenida de entrevistas posteriores a un estímulo. Estas técnicas revelan el razonamiento emocional, las preferencias y las decisiones que un individuo puede no estar dispuesto a revelar o no recordar conscientemente.</w:t>
            </w:r>
          </w:p>
          <w:p w14:paraId="22DA4C8E"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del consumidor incluye las respuestas y decisiones frente a estímulos de marketing, revelando sus preferencias y motivaciones de compra</w:t>
            </w:r>
          </w:p>
        </w:tc>
      </w:tr>
      <w:tr w:rsidR="006331E1" w14:paraId="145109AE" w14:textId="77777777" w:rsidTr="00654BC5">
        <w:trPr>
          <w:tblHeader/>
          <w:jc w:val="center"/>
        </w:trPr>
        <w:tc>
          <w:tcPr>
            <w:tcW w:w="97.50pt" w:type="dxa"/>
            <w:tcBorders>
              <w:start w:val="nil"/>
              <w:end w:val="nil"/>
            </w:tcBorders>
            <w:tcMar>
              <w:top w:w="5pt" w:type="dxa"/>
              <w:start w:w="5pt" w:type="dxa"/>
              <w:bottom w:w="5pt" w:type="dxa"/>
              <w:end w:w="5pt" w:type="dxa"/>
            </w:tcMar>
          </w:tcPr>
          <w:p w14:paraId="3EA6816A"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Stefko</w:t>
            </w:r>
            <w:proofErr w:type="spellEnd"/>
            <w:r>
              <w:rPr>
                <w:rFonts w:ascii="Times New Roman" w:eastAsia="Times New Roman" w:hAnsi="Times New Roman" w:cs="Times New Roman"/>
                <w:sz w:val="24"/>
                <w:szCs w:val="24"/>
              </w:rPr>
              <w:t xml:space="preserve"> et al. (2021)</w:t>
            </w:r>
          </w:p>
        </w:tc>
        <w:tc>
          <w:tcPr>
            <w:tcW w:w="379.50pt" w:type="dxa"/>
            <w:tcBorders>
              <w:start w:val="nil"/>
              <w:end w:val="nil"/>
            </w:tcBorders>
            <w:tcMar>
              <w:top w:w="5pt" w:type="dxa"/>
              <w:start w:w="5pt" w:type="dxa"/>
              <w:bottom w:w="5pt" w:type="dxa"/>
              <w:end w:w="5pt" w:type="dxa"/>
            </w:tcMar>
          </w:tcPr>
          <w:p w14:paraId="14BF9202"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neuromarketing es un campo que fusiona la neurociencia con el marketing para comprender y predecir el comportamiento del consumidor a través del estudio de la actividad cerebral y las respuestas del sistema nervioso.</w:t>
            </w:r>
          </w:p>
        </w:tc>
      </w:tr>
      <w:tr w:rsidR="006331E1" w14:paraId="63B2AB91" w14:textId="77777777" w:rsidTr="00654BC5">
        <w:trPr>
          <w:tblHeader/>
          <w:jc w:val="center"/>
        </w:trPr>
        <w:tc>
          <w:tcPr>
            <w:tcW w:w="97.50pt" w:type="dxa"/>
            <w:tcBorders>
              <w:start w:val="nil"/>
              <w:end w:val="nil"/>
            </w:tcBorders>
            <w:tcMar>
              <w:top w:w="5pt" w:type="dxa"/>
              <w:start w:w="5pt" w:type="dxa"/>
              <w:bottom w:w="5pt" w:type="dxa"/>
              <w:end w:w="5pt" w:type="dxa"/>
            </w:tcMar>
          </w:tcPr>
          <w:p w14:paraId="03ED1F79"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Alvino et al. (2019)</w:t>
            </w:r>
          </w:p>
        </w:tc>
        <w:tc>
          <w:tcPr>
            <w:tcW w:w="379.50pt" w:type="dxa"/>
            <w:tcBorders>
              <w:start w:val="nil"/>
              <w:end w:val="nil"/>
            </w:tcBorders>
            <w:tcMar>
              <w:top w:w="5pt" w:type="dxa"/>
              <w:start w:w="5pt" w:type="dxa"/>
              <w:bottom w:w="5pt" w:type="dxa"/>
              <w:end w:w="5pt" w:type="dxa"/>
            </w:tcMar>
          </w:tcPr>
          <w:p w14:paraId="3ADD0E78"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del consumidor se refiere a las acciones y decisiones durante la experiencia de consumo, como el vino, influenciadas por sus preferencias individuales observadas mediante la neurociencia.</w:t>
            </w:r>
          </w:p>
          <w:p w14:paraId="4D80DD32"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neuromarketing aplica técnicas neurocientíficas para estudiar la conducta y las preferencias del consumidor midiendo la actividad cerebral.</w:t>
            </w:r>
          </w:p>
        </w:tc>
      </w:tr>
      <w:tr w:rsidR="006331E1" w14:paraId="674E5535"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586CC2CD"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Andrii</w:t>
            </w:r>
            <w:proofErr w:type="spellEnd"/>
            <w:r>
              <w:rPr>
                <w:rFonts w:ascii="Times New Roman" w:eastAsia="Times New Roman" w:hAnsi="Times New Roman" w:cs="Times New Roman"/>
                <w:sz w:val="24"/>
                <w:szCs w:val="24"/>
              </w:rPr>
              <w:t xml:space="preserve"> et al. (2019)</w:t>
            </w:r>
          </w:p>
        </w:tc>
        <w:tc>
          <w:tcPr>
            <w:tcW w:w="379.50pt" w:type="dxa"/>
            <w:tcBorders>
              <w:start w:val="nil"/>
              <w:end w:val="nil"/>
            </w:tcBorders>
            <w:shd w:val="clear" w:color="auto" w:fill="auto"/>
            <w:tcMar>
              <w:top w:w="5pt" w:type="dxa"/>
              <w:start w:w="5pt" w:type="dxa"/>
              <w:bottom w:w="5pt" w:type="dxa"/>
              <w:end w:w="5pt" w:type="dxa"/>
            </w:tcMar>
          </w:tcPr>
          <w:p w14:paraId="5F7A063E"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contenido principal del neuromarketing es la investigación de reacciones neurofisiológicas humanas involuntarias ante cualquier atributo de comunicación, como nombres de empresas o productos, logotipo, combinación de colores, olores, señales de audio, soluciones de diseño, etc. Posteriormente, estos datos se interpretan y se utilizan para organizar la promoción de bienes y servicios.</w:t>
            </w:r>
          </w:p>
        </w:tc>
      </w:tr>
      <w:tr w:rsidR="006331E1" w14:paraId="4708671F" w14:textId="77777777" w:rsidTr="00654BC5">
        <w:trPr>
          <w:tblHeader/>
          <w:jc w:val="center"/>
        </w:trPr>
        <w:tc>
          <w:tcPr>
            <w:tcW w:w="97.50pt" w:type="dxa"/>
            <w:tcBorders>
              <w:start w:val="nil"/>
              <w:end w:val="nil"/>
            </w:tcBorders>
            <w:shd w:val="clear" w:color="auto" w:fill="auto"/>
            <w:tcMar>
              <w:top w:w="5pt" w:type="dxa"/>
              <w:start w:w="5pt" w:type="dxa"/>
              <w:bottom w:w="5pt" w:type="dxa"/>
              <w:end w:w="5pt" w:type="dxa"/>
            </w:tcMar>
          </w:tcPr>
          <w:p w14:paraId="4327C68B"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Țichindelean</w:t>
            </w:r>
            <w:proofErr w:type="spellEnd"/>
            <w:r>
              <w:rPr>
                <w:rFonts w:ascii="Times New Roman" w:eastAsia="Times New Roman" w:hAnsi="Times New Roman" w:cs="Times New Roman"/>
                <w:sz w:val="24"/>
                <w:szCs w:val="24"/>
              </w:rPr>
              <w:t xml:space="preserve"> et al. (2019)</w:t>
            </w:r>
          </w:p>
        </w:tc>
        <w:tc>
          <w:tcPr>
            <w:tcW w:w="379.50pt" w:type="dxa"/>
            <w:tcBorders>
              <w:start w:val="nil"/>
              <w:end w:val="nil"/>
            </w:tcBorders>
            <w:shd w:val="clear" w:color="auto" w:fill="auto"/>
            <w:tcMar>
              <w:top w:w="5pt" w:type="dxa"/>
              <w:start w:w="5pt" w:type="dxa"/>
              <w:bottom w:w="5pt" w:type="dxa"/>
              <w:end w:w="5pt" w:type="dxa"/>
            </w:tcMar>
          </w:tcPr>
          <w:p w14:paraId="67F898BD"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Partiendo de las neurociencias que estudian el sistema nervioso para comprender el comportamiento, pasando por la neuroeconomía, que añade a las neurociencias el objetivo de comprender las elecciones de los consumidores, el neuromarketing, entendido como ciencia interdisciplinaria, busca influir estas decisiones trabajando con constructos psicológicos como la atención, la percepción o la memoria.</w:t>
            </w:r>
          </w:p>
        </w:tc>
      </w:tr>
      <w:tr w:rsidR="006331E1" w14:paraId="10CA2933"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2868EFA6"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Ferrer-</w:t>
            </w:r>
            <w:proofErr w:type="spellStart"/>
            <w:r>
              <w:rPr>
                <w:rFonts w:ascii="Times New Roman" w:eastAsia="Times New Roman" w:hAnsi="Times New Roman" w:cs="Times New Roman"/>
                <w:sz w:val="24"/>
                <w:szCs w:val="24"/>
              </w:rPr>
              <w:t>Lopez</w:t>
            </w:r>
            <w:proofErr w:type="spellEnd"/>
            <w:r>
              <w:rPr>
                <w:rFonts w:ascii="Times New Roman" w:eastAsia="Times New Roman" w:hAnsi="Times New Roman" w:cs="Times New Roman"/>
                <w:sz w:val="24"/>
                <w:szCs w:val="24"/>
              </w:rPr>
              <w:t xml:space="preserve"> (2020)</w:t>
            </w:r>
          </w:p>
        </w:tc>
        <w:tc>
          <w:tcPr>
            <w:tcW w:w="379.50pt" w:type="dxa"/>
            <w:tcBorders>
              <w:start w:val="nil"/>
              <w:end w:val="nil"/>
            </w:tcBorders>
            <w:shd w:val="clear" w:color="auto" w:fill="auto"/>
            <w:tcMar>
              <w:top w:w="5pt" w:type="dxa"/>
              <w:start w:w="5pt" w:type="dxa"/>
              <w:bottom w:w="5pt" w:type="dxa"/>
              <w:end w:w="5pt" w:type="dxa"/>
            </w:tcMar>
          </w:tcPr>
          <w:p w14:paraId="5CBE6F8C"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estudio explora el impacto de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tanto en la atención como la emoción del público si lo comparamos con otros medios de publicidad </w:t>
            </w:r>
            <w:proofErr w:type="spellStart"/>
            <w:r>
              <w:rPr>
                <w:rFonts w:ascii="Times New Roman" w:eastAsia="Times New Roman" w:hAnsi="Times New Roman" w:cs="Times New Roman"/>
                <w:sz w:val="24"/>
                <w:szCs w:val="24"/>
              </w:rPr>
              <w:t>tradicional.Gracias</w:t>
            </w:r>
            <w:proofErr w:type="spellEnd"/>
            <w:r>
              <w:rPr>
                <w:rFonts w:ascii="Times New Roman" w:eastAsia="Times New Roman" w:hAnsi="Times New Roman" w:cs="Times New Roman"/>
                <w:sz w:val="24"/>
                <w:szCs w:val="24"/>
              </w:rPr>
              <w:t xml:space="preserve"> a la aplicación de la herramienta </w:t>
            </w:r>
            <w:proofErr w:type="spellStart"/>
            <w:r>
              <w:rPr>
                <w:rFonts w:ascii="Times New Roman" w:eastAsia="Times New Roman" w:hAnsi="Times New Roman" w:cs="Times New Roman"/>
                <w:sz w:val="24"/>
                <w:szCs w:val="24"/>
              </w:rPr>
              <w:t>Sociograph</w:t>
            </w:r>
            <w:proofErr w:type="spellEnd"/>
            <w:r>
              <w:rPr>
                <w:rFonts w:ascii="Times New Roman" w:eastAsia="Times New Roman" w:hAnsi="Times New Roman" w:cs="Times New Roman"/>
                <w:sz w:val="24"/>
                <w:szCs w:val="24"/>
              </w:rPr>
              <w:t xml:space="preserve"> se pudo medir la interacción el comportamiento de los participantes en tiempo real . Comprendiendo así como la publicidad afecta a un nivel consciente e inconsciente al consumidor </w:t>
            </w:r>
          </w:p>
        </w:tc>
      </w:tr>
      <w:tr w:rsidR="006331E1" w14:paraId="77A31E26"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369B4D1D"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Rancati</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shd w:val="clear" w:color="auto" w:fill="auto"/>
            <w:tcMar>
              <w:top w:w="5pt" w:type="dxa"/>
              <w:start w:w="5pt" w:type="dxa"/>
              <w:bottom w:w="5pt" w:type="dxa"/>
              <w:end w:w="5pt" w:type="dxa"/>
            </w:tcMar>
          </w:tcPr>
          <w:p w14:paraId="7EEA253A"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las últimas dos décadas, el neuromarketing ha aumentado significativamente avanzado en una variedad de áreas de investigación, incluido el comportamiento del consumidor, teoría de la decisión y, más recientemente, la investigación de servicios</w:t>
            </w:r>
          </w:p>
        </w:tc>
      </w:tr>
      <w:tr w:rsidR="006331E1" w14:paraId="71733BAF"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47C89037"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Garczareck</w:t>
            </w:r>
            <w:proofErr w:type="spellEnd"/>
            <w:r>
              <w:rPr>
                <w:rFonts w:ascii="Times New Roman" w:eastAsia="Times New Roman" w:hAnsi="Times New Roman" w:cs="Times New Roman"/>
                <w:sz w:val="24"/>
                <w:szCs w:val="24"/>
              </w:rPr>
              <w:t xml:space="preserve"> et al. (2021)</w:t>
            </w:r>
          </w:p>
        </w:tc>
        <w:tc>
          <w:tcPr>
            <w:tcW w:w="379.50pt" w:type="dxa"/>
            <w:tcBorders>
              <w:start w:val="nil"/>
              <w:end w:val="nil"/>
            </w:tcBorders>
            <w:shd w:val="clear" w:color="auto" w:fill="auto"/>
            <w:tcMar>
              <w:top w:w="5pt" w:type="dxa"/>
              <w:start w:w="5pt" w:type="dxa"/>
              <w:bottom w:w="5pt" w:type="dxa"/>
              <w:end w:w="5pt" w:type="dxa"/>
            </w:tcMar>
          </w:tcPr>
          <w:p w14:paraId="745163EC"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artículo analiza la aplicación de técnicas neuromarketing, como el EEG, EDA y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 para comprender mejor la toma de decisiones de los consumidores en el contexto de la compra de marcas. Se comparan medidas neurofisiológicas con autoinformes emocionales para predecir la elección de productos, destacando la importancia de la familiaridad con la marca. Los </w:t>
            </w:r>
            <w:r>
              <w:rPr>
                <w:rFonts w:ascii="Times New Roman" w:eastAsia="Times New Roman" w:hAnsi="Times New Roman" w:cs="Times New Roman"/>
                <w:sz w:val="24"/>
                <w:szCs w:val="24"/>
              </w:rPr>
              <w:lastRenderedPageBreak/>
              <w:t xml:space="preserve">resultados sugieren que las medidas neurofisiológicas ofrecen una mayor precisión en la predicción de comportamientos de compra que los autoinformes. </w:t>
            </w:r>
          </w:p>
        </w:tc>
      </w:tr>
      <w:tr w:rsidR="006331E1" w14:paraId="6EB383AE"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6CC59897"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Herrando et al. (2022)</w:t>
            </w:r>
          </w:p>
        </w:tc>
        <w:tc>
          <w:tcPr>
            <w:tcW w:w="379.50pt" w:type="dxa"/>
            <w:tcBorders>
              <w:start w:val="nil"/>
              <w:end w:val="nil"/>
            </w:tcBorders>
            <w:shd w:val="clear" w:color="auto" w:fill="auto"/>
            <w:tcMar>
              <w:top w:w="5pt" w:type="dxa"/>
              <w:start w:w="5pt" w:type="dxa"/>
              <w:bottom w:w="5pt" w:type="dxa"/>
              <w:end w:w="5pt" w:type="dxa"/>
            </w:tcMar>
          </w:tcPr>
          <w:p w14:paraId="737BC7F9"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estudio, se investiga cómo la interactividad en entornos online influye en las respuestas emocionales de los usuarios, destacando el flujo como mediador clave en la intención de compra. Se combina la neurociencia y encuestas en línea para analizar tanto las respuestas fisiológicas como las percepciones subjetivas de los participantes. Resalta que la interactividad en la generación de experiencias placenteras que conducen a estados de flujo, impactando positivamente en la intención de compra. Este enfoque novedoso profundiza en cómo el diseño web y la experiencia del usuario afectan el comportamiento del consumidor en entornos digitales.</w:t>
            </w:r>
          </w:p>
        </w:tc>
      </w:tr>
      <w:tr w:rsidR="006331E1" w14:paraId="587B56DA"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77CF9D86" w14:textId="77777777" w:rsidR="006331E1" w:rsidRDefault="006331E1" w:rsidP="00654BC5">
            <w:pPr>
              <w:widowControl w:val="0"/>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Fondevila et al. (2020)</w:t>
            </w:r>
          </w:p>
        </w:tc>
        <w:tc>
          <w:tcPr>
            <w:tcW w:w="379.50pt" w:type="dxa"/>
            <w:tcBorders>
              <w:start w:val="nil"/>
              <w:end w:val="nil"/>
            </w:tcBorders>
            <w:shd w:val="clear" w:color="auto" w:fill="auto"/>
            <w:tcMar>
              <w:top w:w="5pt" w:type="dxa"/>
              <w:start w:w="5pt" w:type="dxa"/>
              <w:bottom w:w="5pt" w:type="dxa"/>
              <w:end w:w="5pt" w:type="dxa"/>
            </w:tcMar>
          </w:tcPr>
          <w:p w14:paraId="72DB0C7F"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busca comprender los factores de éxito de las publicaciones en redes sociales y determinar si el impacto emocional y atencional varía según el género. A través de datos psicofisiológicos y el uso de </w:t>
            </w:r>
            <w:proofErr w:type="spellStart"/>
            <w:r>
              <w:rPr>
                <w:rFonts w:ascii="Times New Roman" w:eastAsia="Times New Roman" w:hAnsi="Times New Roman" w:cs="Times New Roman"/>
                <w:sz w:val="24"/>
                <w:szCs w:val="24"/>
              </w:rPr>
              <w:t>Sociograph</w:t>
            </w:r>
            <w:proofErr w:type="spellEnd"/>
            <w:r>
              <w:rPr>
                <w:rFonts w:ascii="Times New Roman" w:eastAsia="Times New Roman" w:hAnsi="Times New Roman" w:cs="Times New Roman"/>
                <w:sz w:val="24"/>
                <w:szCs w:val="24"/>
              </w:rPr>
              <w:t>, se examina la influencia de las historias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reales en los seguidores, evaluando la activación emocional y la atención generada. Los resultados proporcionan </w:t>
            </w:r>
            <w:proofErr w:type="spellStart"/>
            <w:r>
              <w:rPr>
                <w:rFonts w:ascii="Times New Roman" w:eastAsia="Times New Roman" w:hAnsi="Times New Roman" w:cs="Times New Roman"/>
                <w:sz w:val="24"/>
                <w:szCs w:val="24"/>
              </w:rPr>
              <w:t>insights</w:t>
            </w:r>
            <w:proofErr w:type="spellEnd"/>
            <w:r>
              <w:rPr>
                <w:rFonts w:ascii="Times New Roman" w:eastAsia="Times New Roman" w:hAnsi="Times New Roman" w:cs="Times New Roman"/>
                <w:sz w:val="24"/>
                <w:szCs w:val="24"/>
              </w:rPr>
              <w:t xml:space="preserve"> valiosos sobre la interacción de los usuarios con las redes sociales, especialmente en el contexto de Instagram, destacando la importancia de analizar la atención y emoción en las campañas de marketing en redes sociales para las empresas.</w:t>
            </w:r>
          </w:p>
        </w:tc>
      </w:tr>
      <w:tr w:rsidR="006331E1" w14:paraId="5B4D2EB1" w14:textId="77777777" w:rsidTr="00654BC5">
        <w:trPr>
          <w:jc w:val="center"/>
        </w:trPr>
        <w:tc>
          <w:tcPr>
            <w:tcW w:w="97.50pt" w:type="dxa"/>
            <w:tcBorders>
              <w:start w:val="nil"/>
              <w:end w:val="nil"/>
            </w:tcBorders>
            <w:shd w:val="clear" w:color="auto" w:fill="auto"/>
            <w:tcMar>
              <w:top w:w="5pt" w:type="dxa"/>
              <w:start w:w="5pt" w:type="dxa"/>
              <w:bottom w:w="5pt" w:type="dxa"/>
              <w:end w:w="5pt" w:type="dxa"/>
            </w:tcMar>
          </w:tcPr>
          <w:p w14:paraId="0EBFC6A2" w14:textId="77777777" w:rsidR="006331E1" w:rsidRDefault="006331E1" w:rsidP="00654BC5">
            <w:pPr>
              <w:widowControl w:val="0"/>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Zahmati</w:t>
            </w:r>
            <w:proofErr w:type="spellEnd"/>
            <w:r>
              <w:rPr>
                <w:rFonts w:ascii="Times New Roman" w:eastAsia="Times New Roman" w:hAnsi="Times New Roman" w:cs="Times New Roman"/>
                <w:sz w:val="24"/>
                <w:szCs w:val="24"/>
              </w:rPr>
              <w:t xml:space="preserve"> et al. (2023)</w:t>
            </w:r>
          </w:p>
        </w:tc>
        <w:tc>
          <w:tcPr>
            <w:tcW w:w="379.50pt" w:type="dxa"/>
            <w:tcBorders>
              <w:start w:val="nil"/>
              <w:end w:val="nil"/>
            </w:tcBorders>
            <w:shd w:val="clear" w:color="auto" w:fill="auto"/>
            <w:tcMar>
              <w:top w:w="5pt" w:type="dxa"/>
              <w:start w:w="5pt" w:type="dxa"/>
              <w:bottom w:w="5pt" w:type="dxa"/>
              <w:end w:w="5pt" w:type="dxa"/>
            </w:tcMar>
          </w:tcPr>
          <w:p w14:paraId="6E33FBBB" w14:textId="77777777" w:rsidR="006331E1" w:rsidRDefault="006331E1" w:rsidP="00654BC5">
            <w:pPr>
              <w:widowControl w:val="0"/>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neuromarketing es un sistema compuesto por herramientas, principalmente aquellas con las que se analiza la reacción ocular, son pertinentes para determinar el comportamiento del consumidor y, a su vez, obtener información que beneficie los objetivos comerciales del investigador.</w:t>
            </w:r>
          </w:p>
        </w:tc>
      </w:tr>
    </w:tbl>
    <w:p w14:paraId="3B051C96" w14:textId="77777777" w:rsidR="006331E1" w:rsidRDefault="006331E1" w:rsidP="006331E1">
      <w:pPr>
        <w:spacing w:after="1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Fuente: Elaboración propia</w:t>
      </w:r>
    </w:p>
    <w:p w14:paraId="4E2669A1" w14:textId="77777777" w:rsidR="006331E1" w:rsidRDefault="006331E1" w:rsidP="006331E1">
      <w:pPr>
        <w:spacing w:after="10pt"/>
        <w:jc w:val="both"/>
        <w:rPr>
          <w:sz w:val="24"/>
          <w:szCs w:val="24"/>
        </w:rPr>
      </w:pPr>
    </w:p>
    <w:p w14:paraId="32AF15BD"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específico 2: Analizar el diseño metodológico utilizado en los estudios de investigación relacionados con el neuromarketing y comportamiento del consumidor.</w:t>
      </w:r>
    </w:p>
    <w:p w14:paraId="01E1BBBF"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neuromarketing surgió como una disciplina considerada innovadora, la cual combina los principios del marketing con la parte de la neurociencia con la finalidad de entender de una mejor forma el comportamiento del consumidor. En este contexto, la metodología que se utiliza en los estudios del neuromarketing tienen un papel fundamental para la obtención de datos que son relevantes. </w:t>
      </w:r>
    </w:p>
    <w:p w14:paraId="4BEC37D2"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este objetivo se busca analizar los enfoques, alcances e instrumentos metodológicos realizados por distintos autores acerca de sus investigaciones sobre el neuromarketing y el comportamiento del consumidor.</w:t>
      </w:r>
    </w:p>
    <w:p w14:paraId="40265E4A" w14:textId="77777777" w:rsidR="006331E1" w:rsidRDefault="006331E1" w:rsidP="006331E1">
      <w:pPr>
        <w:spacing w:after="10pt" w:line="18pt"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Tabla 3. </w:t>
      </w:r>
      <w:r>
        <w:rPr>
          <w:rFonts w:ascii="Times New Roman" w:eastAsia="Times New Roman" w:hAnsi="Times New Roman" w:cs="Times New Roman"/>
          <w:b/>
          <w:sz w:val="24"/>
          <w:szCs w:val="24"/>
        </w:rPr>
        <w:t>Resultados sobre metodología</w:t>
      </w:r>
    </w:p>
    <w:tbl>
      <w:tblPr>
        <w:tblW w:w="501pt" w:type="dxa"/>
        <w:jc w:val="center"/>
        <w:tblBorders>
          <w:top w:val="nil"/>
          <w:start w:val="nil"/>
          <w:bottom w:val="nil"/>
          <w:end w:val="nil"/>
          <w:insideH w:val="nil"/>
          <w:insideV w:val="nil"/>
        </w:tblBorders>
        <w:tblLayout w:type="fixed"/>
        <w:tblLook w:firstRow="0" w:lastRow="0" w:firstColumn="0" w:lastColumn="0" w:noHBand="1" w:noVBand="1"/>
      </w:tblPr>
      <w:tblGrid>
        <w:gridCol w:w="1845"/>
        <w:gridCol w:w="1470"/>
        <w:gridCol w:w="1605"/>
        <w:gridCol w:w="1980"/>
        <w:gridCol w:w="3120"/>
      </w:tblGrid>
      <w:tr w:rsidR="006331E1" w14:paraId="5892801D" w14:textId="77777777" w:rsidTr="00654BC5">
        <w:trPr>
          <w:trHeight w:val="300"/>
          <w:jc w:val="center"/>
        </w:trPr>
        <w:tc>
          <w:tcPr>
            <w:tcW w:w="92.25pt" w:type="dxa"/>
            <w:tcBorders>
              <w:top w:val="single" w:sz="8" w:space="0" w:color="000000"/>
              <w:start w:val="nil"/>
              <w:bottom w:val="single" w:sz="8" w:space="0" w:color="000000"/>
              <w:end w:val="nil"/>
            </w:tcBorders>
            <w:tcMar>
              <w:top w:w="5.65pt" w:type="dxa"/>
              <w:start w:w="5.65pt" w:type="dxa"/>
              <w:bottom w:w="5.65pt" w:type="dxa"/>
              <w:end w:w="5.65pt" w:type="dxa"/>
            </w:tcMar>
            <w:vAlign w:val="center"/>
          </w:tcPr>
          <w:p w14:paraId="1AFC160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Autor</w:t>
            </w:r>
          </w:p>
        </w:tc>
        <w:tc>
          <w:tcPr>
            <w:tcW w:w="73.50pt" w:type="dxa"/>
            <w:tcBorders>
              <w:top w:val="single" w:sz="8" w:space="0" w:color="000000"/>
              <w:start w:val="nil"/>
              <w:bottom w:val="single" w:sz="8" w:space="0" w:color="000000"/>
              <w:end w:val="nil"/>
            </w:tcBorders>
            <w:tcMar>
              <w:top w:w="5.65pt" w:type="dxa"/>
              <w:start w:w="5.65pt" w:type="dxa"/>
              <w:bottom w:w="5.65pt" w:type="dxa"/>
              <w:end w:w="5.65pt" w:type="dxa"/>
            </w:tcMar>
            <w:vAlign w:val="center"/>
          </w:tcPr>
          <w:p w14:paraId="53E6AA0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Enfoque</w:t>
            </w:r>
          </w:p>
        </w:tc>
        <w:tc>
          <w:tcPr>
            <w:tcW w:w="80.25pt" w:type="dxa"/>
            <w:tcBorders>
              <w:top w:val="single" w:sz="8" w:space="0" w:color="000000"/>
              <w:start w:val="nil"/>
              <w:bottom w:val="single" w:sz="8" w:space="0" w:color="000000"/>
              <w:end w:val="nil"/>
            </w:tcBorders>
            <w:tcMar>
              <w:top w:w="5.65pt" w:type="dxa"/>
              <w:start w:w="5.65pt" w:type="dxa"/>
              <w:bottom w:w="5.65pt" w:type="dxa"/>
              <w:end w:w="5.65pt" w:type="dxa"/>
            </w:tcMar>
            <w:vAlign w:val="center"/>
          </w:tcPr>
          <w:p w14:paraId="5316401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Alcance</w:t>
            </w:r>
          </w:p>
        </w:tc>
        <w:tc>
          <w:tcPr>
            <w:tcW w:w="99pt" w:type="dxa"/>
            <w:tcBorders>
              <w:top w:val="single" w:sz="8" w:space="0" w:color="000000"/>
              <w:start w:val="nil"/>
              <w:bottom w:val="single" w:sz="8" w:space="0" w:color="000000"/>
              <w:end w:val="nil"/>
            </w:tcBorders>
            <w:tcMar>
              <w:top w:w="5.65pt" w:type="dxa"/>
              <w:start w:w="5.65pt" w:type="dxa"/>
              <w:bottom w:w="5.65pt" w:type="dxa"/>
              <w:end w:w="5.65pt" w:type="dxa"/>
            </w:tcMar>
            <w:vAlign w:val="center"/>
          </w:tcPr>
          <w:p w14:paraId="17A66364"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w:t>
            </w:r>
          </w:p>
        </w:tc>
        <w:tc>
          <w:tcPr>
            <w:tcW w:w="156pt" w:type="dxa"/>
            <w:tcBorders>
              <w:top w:val="single" w:sz="8" w:space="0" w:color="000000"/>
              <w:start w:val="nil"/>
              <w:bottom w:val="single" w:sz="8" w:space="0" w:color="000000"/>
              <w:end w:val="nil"/>
            </w:tcBorders>
            <w:tcMar>
              <w:top w:w="5.65pt" w:type="dxa"/>
              <w:start w:w="5.65pt" w:type="dxa"/>
              <w:bottom w:w="5.65pt" w:type="dxa"/>
              <w:end w:w="5.65pt" w:type="dxa"/>
            </w:tcMar>
            <w:vAlign w:val="center"/>
          </w:tcPr>
          <w:p w14:paraId="653FB86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Unidad de Análisis</w:t>
            </w:r>
          </w:p>
        </w:tc>
      </w:tr>
      <w:tr w:rsidR="006331E1" w14:paraId="19062B3C" w14:textId="77777777" w:rsidTr="00654BC5">
        <w:trPr>
          <w:trHeight w:val="540"/>
          <w:jc w:val="center"/>
        </w:trPr>
        <w:tc>
          <w:tcPr>
            <w:tcW w:w="92.25pt" w:type="dxa"/>
            <w:tcBorders>
              <w:top w:val="single" w:sz="8" w:space="0" w:color="CCCCCC"/>
              <w:start w:val="nil"/>
              <w:end w:val="nil"/>
            </w:tcBorders>
            <w:tcMar>
              <w:top w:w="5.65pt" w:type="dxa"/>
              <w:start w:w="5.65pt" w:type="dxa"/>
              <w:bottom w:w="5.65pt" w:type="dxa"/>
              <w:end w:w="5.65pt" w:type="dxa"/>
            </w:tcMar>
            <w:vAlign w:val="center"/>
          </w:tcPr>
          <w:p w14:paraId="0749CEE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Kromalcas</w:t>
            </w:r>
            <w:proofErr w:type="spellEnd"/>
            <w:r>
              <w:rPr>
                <w:rFonts w:ascii="Times New Roman" w:eastAsia="Times New Roman" w:hAnsi="Times New Roman" w:cs="Times New Roman"/>
                <w:sz w:val="24"/>
                <w:szCs w:val="24"/>
              </w:rPr>
              <w:t xml:space="preserve"> (2024)</w:t>
            </w:r>
          </w:p>
        </w:tc>
        <w:tc>
          <w:tcPr>
            <w:tcW w:w="73.50pt" w:type="dxa"/>
            <w:tcBorders>
              <w:top w:val="single" w:sz="8" w:space="0" w:color="CCCCCC"/>
              <w:start w:val="nil"/>
              <w:end w:val="nil"/>
            </w:tcBorders>
            <w:tcMar>
              <w:top w:w="5.65pt" w:type="dxa"/>
              <w:start w:w="5.65pt" w:type="dxa"/>
              <w:bottom w:w="5.65pt" w:type="dxa"/>
              <w:end w:w="5.65pt" w:type="dxa"/>
            </w:tcMar>
            <w:vAlign w:val="center"/>
          </w:tcPr>
          <w:p w14:paraId="35940D4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top w:val="single" w:sz="8" w:space="0" w:color="CCCCCC"/>
              <w:start w:val="nil"/>
              <w:end w:val="nil"/>
            </w:tcBorders>
            <w:tcMar>
              <w:top w:w="5.65pt" w:type="dxa"/>
              <w:start w:w="5.65pt" w:type="dxa"/>
              <w:bottom w:w="5.65pt" w:type="dxa"/>
              <w:end w:w="5.65pt" w:type="dxa"/>
            </w:tcMar>
            <w:vAlign w:val="center"/>
          </w:tcPr>
          <w:p w14:paraId="0BCE129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top w:val="single" w:sz="8" w:space="0" w:color="CCCCCC"/>
              <w:start w:val="nil"/>
              <w:end w:val="nil"/>
            </w:tcBorders>
            <w:tcMar>
              <w:top w:w="5.65pt" w:type="dxa"/>
              <w:start w:w="5.65pt" w:type="dxa"/>
              <w:bottom w:w="5.65pt" w:type="dxa"/>
              <w:end w:w="5.65pt" w:type="dxa"/>
            </w:tcMar>
            <w:vAlign w:val="center"/>
          </w:tcPr>
          <w:p w14:paraId="7BAC14B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Método de recolección de datos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w:t>
            </w:r>
          </w:p>
        </w:tc>
        <w:tc>
          <w:tcPr>
            <w:tcW w:w="156pt" w:type="dxa"/>
            <w:tcBorders>
              <w:top w:val="single" w:sz="8" w:space="0" w:color="CCCCCC"/>
              <w:start w:val="nil"/>
              <w:end w:val="nil"/>
            </w:tcBorders>
            <w:tcMar>
              <w:top w:w="5.65pt" w:type="dxa"/>
              <w:start w:w="5.65pt" w:type="dxa"/>
              <w:bottom w:w="5.65pt" w:type="dxa"/>
              <w:end w:w="5.65pt" w:type="dxa"/>
            </w:tcMar>
            <w:vAlign w:val="center"/>
          </w:tcPr>
          <w:p w14:paraId="13A416A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participantes (18 hombres y 22 mujeres) con edades entre 22-34 años</w:t>
            </w:r>
          </w:p>
        </w:tc>
      </w:tr>
      <w:tr w:rsidR="006331E1" w14:paraId="66BA011A" w14:textId="77777777" w:rsidTr="00654BC5">
        <w:trPr>
          <w:trHeight w:val="795"/>
          <w:jc w:val="center"/>
        </w:trPr>
        <w:tc>
          <w:tcPr>
            <w:tcW w:w="92.25pt" w:type="dxa"/>
            <w:tcBorders>
              <w:start w:val="nil"/>
              <w:end w:val="nil"/>
            </w:tcBorders>
            <w:tcMar>
              <w:top w:w="5.65pt" w:type="dxa"/>
              <w:start w:w="5.65pt" w:type="dxa"/>
              <w:bottom w:w="5.65pt" w:type="dxa"/>
              <w:end w:w="5.65pt" w:type="dxa"/>
            </w:tcMar>
            <w:vAlign w:val="center"/>
          </w:tcPr>
          <w:p w14:paraId="1CB56E7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Jakub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Bercík</w:t>
            </w:r>
            <w:proofErr w:type="spellEnd"/>
            <w:r>
              <w:rPr>
                <w:rFonts w:ascii="Times New Roman" w:eastAsia="Times New Roman" w:hAnsi="Times New Roman" w:cs="Times New Roman"/>
                <w:sz w:val="24"/>
                <w:szCs w:val="24"/>
              </w:rPr>
              <w:t xml:space="preserve">, Anna </w:t>
            </w:r>
            <w:proofErr w:type="spellStart"/>
            <w:r>
              <w:rPr>
                <w:rFonts w:ascii="Times New Roman" w:eastAsia="Times New Roman" w:hAnsi="Times New Roman" w:cs="Times New Roman"/>
                <w:sz w:val="24"/>
                <w:szCs w:val="24"/>
              </w:rPr>
              <w:t>Mravcova</w:t>
            </w:r>
            <w:proofErr w:type="spellEnd"/>
            <w:r>
              <w:rPr>
                <w:rFonts w:ascii="Times New Roman" w:eastAsia="Times New Roman" w:hAnsi="Times New Roman" w:cs="Times New Roman"/>
                <w:sz w:val="24"/>
                <w:szCs w:val="24"/>
              </w:rPr>
              <w:t xml:space="preserve"> et al. (2024)</w:t>
            </w:r>
          </w:p>
        </w:tc>
        <w:tc>
          <w:tcPr>
            <w:tcW w:w="73.50pt" w:type="dxa"/>
            <w:tcBorders>
              <w:start w:val="nil"/>
              <w:end w:val="nil"/>
            </w:tcBorders>
            <w:tcMar>
              <w:top w:w="5.65pt" w:type="dxa"/>
              <w:start w:w="5.65pt" w:type="dxa"/>
              <w:bottom w:w="5.65pt" w:type="dxa"/>
              <w:end w:w="5.65pt" w:type="dxa"/>
            </w:tcMar>
            <w:vAlign w:val="center"/>
          </w:tcPr>
          <w:p w14:paraId="775BCAF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1786F3C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end w:val="nil"/>
            </w:tcBorders>
            <w:tcMar>
              <w:top w:w="5.65pt" w:type="dxa"/>
              <w:start w:w="5.65pt" w:type="dxa"/>
              <w:bottom w:w="5.65pt" w:type="dxa"/>
              <w:end w:w="5.65pt" w:type="dxa"/>
            </w:tcMar>
            <w:vAlign w:val="center"/>
          </w:tcPr>
          <w:p w14:paraId="2F42BEAF"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Software </w:t>
            </w:r>
            <w:proofErr w:type="spellStart"/>
            <w:r>
              <w:rPr>
                <w:rFonts w:ascii="Times New Roman" w:eastAsia="Times New Roman" w:hAnsi="Times New Roman" w:cs="Times New Roman"/>
                <w:sz w:val="24"/>
                <w:szCs w:val="24"/>
              </w:rPr>
              <w:t>Face</w:t>
            </w:r>
            <w:proofErr w:type="spellEnd"/>
            <w:r>
              <w:rPr>
                <w:rFonts w:ascii="Times New Roman" w:eastAsia="Times New Roman" w:hAnsi="Times New Roman" w:cs="Times New Roman"/>
                <w:sz w:val="24"/>
                <w:szCs w:val="24"/>
              </w:rPr>
              <w:t xml:space="preserve"> Reader</w:t>
            </w:r>
          </w:p>
        </w:tc>
        <w:tc>
          <w:tcPr>
            <w:tcW w:w="156pt" w:type="dxa"/>
            <w:tcBorders>
              <w:start w:val="nil"/>
              <w:end w:val="nil"/>
            </w:tcBorders>
            <w:tcMar>
              <w:top w:w="5.65pt" w:type="dxa"/>
              <w:start w:w="5.65pt" w:type="dxa"/>
              <w:bottom w:w="5.65pt" w:type="dxa"/>
              <w:end w:w="5.65pt" w:type="dxa"/>
            </w:tcMar>
            <w:vAlign w:val="center"/>
          </w:tcPr>
          <w:p w14:paraId="2E9A0B8E"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analizan las respuestas de 103 encuestados del mercado eslovaco y 95 encuestados del mercado español</w:t>
            </w:r>
          </w:p>
        </w:tc>
      </w:tr>
      <w:tr w:rsidR="006331E1" w14:paraId="2B180254"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08C93D5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Kakaria</w:t>
            </w:r>
            <w:proofErr w:type="spellEnd"/>
            <w:r>
              <w:rPr>
                <w:rFonts w:ascii="Times New Roman" w:eastAsia="Times New Roman" w:hAnsi="Times New Roman" w:cs="Times New Roman"/>
                <w:sz w:val="24"/>
                <w:szCs w:val="24"/>
              </w:rPr>
              <w:t xml:space="preserve"> et al. (2023)</w:t>
            </w:r>
          </w:p>
        </w:tc>
        <w:tc>
          <w:tcPr>
            <w:tcW w:w="73.50pt" w:type="dxa"/>
            <w:tcBorders>
              <w:start w:val="nil"/>
              <w:end w:val="nil"/>
            </w:tcBorders>
            <w:tcMar>
              <w:top w:w="5.65pt" w:type="dxa"/>
              <w:start w:w="5.65pt" w:type="dxa"/>
              <w:bottom w:w="5.65pt" w:type="dxa"/>
              <w:end w:w="5.65pt" w:type="dxa"/>
            </w:tcMar>
            <w:vAlign w:val="center"/>
          </w:tcPr>
          <w:p w14:paraId="2B42952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346110F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end w:val="nil"/>
            </w:tcBorders>
            <w:tcMar>
              <w:top w:w="5.65pt" w:type="dxa"/>
              <w:start w:w="5.65pt" w:type="dxa"/>
              <w:bottom w:w="5.65pt" w:type="dxa"/>
              <w:end w:w="5.65pt" w:type="dxa"/>
            </w:tcMar>
            <w:vAlign w:val="center"/>
          </w:tcPr>
          <w:p w14:paraId="0AD4FA73"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Medidas de observación y </w:t>
            </w:r>
            <w:r>
              <w:rPr>
                <w:rFonts w:ascii="Times New Roman" w:eastAsia="Times New Roman" w:hAnsi="Times New Roman" w:cs="Times New Roman"/>
                <w:sz w:val="24"/>
                <w:szCs w:val="24"/>
              </w:rPr>
              <w:lastRenderedPageBreak/>
              <w:t>encuestas</w:t>
            </w:r>
          </w:p>
        </w:tc>
        <w:tc>
          <w:tcPr>
            <w:tcW w:w="156pt" w:type="dxa"/>
            <w:tcBorders>
              <w:start w:val="nil"/>
              <w:end w:val="nil"/>
            </w:tcBorders>
            <w:tcMar>
              <w:top w:w="5.65pt" w:type="dxa"/>
              <w:start w:w="5.65pt" w:type="dxa"/>
              <w:bottom w:w="5.65pt" w:type="dxa"/>
              <w:end w:w="5.65pt" w:type="dxa"/>
            </w:tcMar>
            <w:vAlign w:val="center"/>
          </w:tcPr>
          <w:p w14:paraId="2798C70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analizaron a 32 participantes</w:t>
            </w:r>
          </w:p>
        </w:tc>
      </w:tr>
      <w:tr w:rsidR="006331E1" w14:paraId="5A5219D1" w14:textId="77777777" w:rsidTr="00654BC5">
        <w:trPr>
          <w:trHeight w:val="795"/>
          <w:jc w:val="center"/>
        </w:trPr>
        <w:tc>
          <w:tcPr>
            <w:tcW w:w="92.25pt" w:type="dxa"/>
            <w:tcBorders>
              <w:start w:val="nil"/>
              <w:end w:val="nil"/>
            </w:tcBorders>
            <w:tcMar>
              <w:top w:w="5.65pt" w:type="dxa"/>
              <w:start w:w="5.65pt" w:type="dxa"/>
              <w:bottom w:w="5.65pt" w:type="dxa"/>
              <w:end w:w="5.65pt" w:type="dxa"/>
            </w:tcMar>
            <w:vAlign w:val="center"/>
          </w:tcPr>
          <w:p w14:paraId="531E1F7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Juárez </w:t>
            </w:r>
            <w:proofErr w:type="spellStart"/>
            <w:r>
              <w:rPr>
                <w:rFonts w:ascii="Times New Roman" w:eastAsia="Times New Roman" w:hAnsi="Times New Roman" w:cs="Times New Roman"/>
                <w:sz w:val="24"/>
                <w:szCs w:val="24"/>
              </w:rPr>
              <w:t>Varon</w:t>
            </w:r>
            <w:proofErr w:type="spellEnd"/>
            <w:r>
              <w:rPr>
                <w:rFonts w:ascii="Times New Roman" w:eastAsia="Times New Roman" w:hAnsi="Times New Roman" w:cs="Times New Roman"/>
                <w:sz w:val="24"/>
                <w:szCs w:val="24"/>
              </w:rPr>
              <w:t xml:space="preserve"> et al. (2023)</w:t>
            </w:r>
          </w:p>
        </w:tc>
        <w:tc>
          <w:tcPr>
            <w:tcW w:w="73.50pt" w:type="dxa"/>
            <w:tcBorders>
              <w:start w:val="nil"/>
              <w:end w:val="nil"/>
            </w:tcBorders>
            <w:tcMar>
              <w:top w:w="5.65pt" w:type="dxa"/>
              <w:start w:w="5.65pt" w:type="dxa"/>
              <w:bottom w:w="5.65pt" w:type="dxa"/>
              <w:end w:w="5.65pt" w:type="dxa"/>
            </w:tcMar>
            <w:vAlign w:val="center"/>
          </w:tcPr>
          <w:p w14:paraId="45AAE97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48CC032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end w:val="nil"/>
            </w:tcBorders>
            <w:tcMar>
              <w:top w:w="5.65pt" w:type="dxa"/>
              <w:start w:w="5.65pt" w:type="dxa"/>
              <w:bottom w:w="5.65pt" w:type="dxa"/>
              <w:end w:w="5.65pt" w:type="dxa"/>
            </w:tcMar>
            <w:vAlign w:val="center"/>
          </w:tcPr>
          <w:p w14:paraId="55A2B9F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Seguimiento ocular y la respuesta galvánica de la piel</w:t>
            </w:r>
          </w:p>
        </w:tc>
        <w:tc>
          <w:tcPr>
            <w:tcW w:w="156pt" w:type="dxa"/>
            <w:tcBorders>
              <w:start w:val="nil"/>
              <w:end w:val="nil"/>
            </w:tcBorders>
            <w:tcMar>
              <w:top w:w="5.65pt" w:type="dxa"/>
              <w:start w:w="5.65pt" w:type="dxa"/>
              <w:bottom w:w="5.65pt" w:type="dxa"/>
              <w:end w:w="5.65pt" w:type="dxa"/>
            </w:tcMar>
            <w:vAlign w:val="center"/>
          </w:tcPr>
          <w:p w14:paraId="5EC5837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30 consumidores</w:t>
            </w:r>
          </w:p>
        </w:tc>
      </w:tr>
      <w:tr w:rsidR="006331E1" w14:paraId="791CB47F"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1AB544B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Laeng</w:t>
            </w:r>
            <w:proofErr w:type="spellEnd"/>
            <w:r>
              <w:rPr>
                <w:rFonts w:ascii="Times New Roman" w:eastAsia="Times New Roman" w:hAnsi="Times New Roman" w:cs="Times New Roman"/>
                <w:sz w:val="24"/>
                <w:szCs w:val="24"/>
              </w:rPr>
              <w:t xml:space="preserve"> et al. (2016)</w:t>
            </w:r>
          </w:p>
        </w:tc>
        <w:tc>
          <w:tcPr>
            <w:tcW w:w="73.50pt" w:type="dxa"/>
            <w:tcBorders>
              <w:start w:val="nil"/>
              <w:end w:val="nil"/>
            </w:tcBorders>
            <w:tcMar>
              <w:top w:w="5.65pt" w:type="dxa"/>
              <w:start w:w="5.65pt" w:type="dxa"/>
              <w:bottom w:w="5.65pt" w:type="dxa"/>
              <w:end w:w="5.65pt" w:type="dxa"/>
            </w:tcMar>
            <w:vAlign w:val="center"/>
          </w:tcPr>
          <w:p w14:paraId="371ACA0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19C506F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end w:val="nil"/>
            </w:tcBorders>
            <w:tcMar>
              <w:top w:w="5.65pt" w:type="dxa"/>
              <w:start w:w="5.65pt" w:type="dxa"/>
              <w:bottom w:w="5.65pt" w:type="dxa"/>
              <w:end w:w="5.65pt" w:type="dxa"/>
            </w:tcMar>
            <w:vAlign w:val="center"/>
          </w:tcPr>
          <w:p w14:paraId="36A93A2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Seguimiento ocular por infrarrojos</w:t>
            </w:r>
          </w:p>
        </w:tc>
        <w:tc>
          <w:tcPr>
            <w:tcW w:w="156pt" w:type="dxa"/>
            <w:tcBorders>
              <w:start w:val="nil"/>
              <w:end w:val="nil"/>
            </w:tcBorders>
            <w:tcMar>
              <w:top w:w="5.65pt" w:type="dxa"/>
              <w:start w:w="5.65pt" w:type="dxa"/>
              <w:bottom w:w="5.65pt" w:type="dxa"/>
              <w:end w:w="5.65pt" w:type="dxa"/>
            </w:tcMar>
            <w:vAlign w:val="center"/>
          </w:tcPr>
          <w:p w14:paraId="1529A14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60 personas</w:t>
            </w:r>
          </w:p>
        </w:tc>
      </w:tr>
      <w:tr w:rsidR="006331E1" w14:paraId="62DB201A"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5D456392"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Garcia</w:t>
            </w:r>
            <w:proofErr w:type="spellEnd"/>
            <w:r>
              <w:rPr>
                <w:rFonts w:ascii="Times New Roman" w:eastAsia="Times New Roman" w:hAnsi="Times New Roman" w:cs="Times New Roman"/>
                <w:sz w:val="24"/>
                <w:szCs w:val="24"/>
              </w:rPr>
              <w:t xml:space="preserve"> et al. (2023)</w:t>
            </w:r>
          </w:p>
        </w:tc>
        <w:tc>
          <w:tcPr>
            <w:tcW w:w="73.50pt" w:type="dxa"/>
            <w:tcBorders>
              <w:start w:val="nil"/>
              <w:end w:val="nil"/>
            </w:tcBorders>
            <w:tcMar>
              <w:top w:w="5.65pt" w:type="dxa"/>
              <w:start w:w="5.65pt" w:type="dxa"/>
              <w:bottom w:w="5.65pt" w:type="dxa"/>
              <w:end w:w="5.65pt" w:type="dxa"/>
            </w:tcMar>
            <w:vAlign w:val="center"/>
          </w:tcPr>
          <w:p w14:paraId="4A09C68F"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741332B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1F8D7D5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Dispositivo de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 (ET)</w:t>
            </w:r>
          </w:p>
        </w:tc>
        <w:tc>
          <w:tcPr>
            <w:tcW w:w="156pt" w:type="dxa"/>
            <w:tcBorders>
              <w:start w:val="nil"/>
              <w:end w:val="nil"/>
            </w:tcBorders>
            <w:tcMar>
              <w:top w:w="5.65pt" w:type="dxa"/>
              <w:start w:w="5.65pt" w:type="dxa"/>
              <w:bottom w:w="5.65pt" w:type="dxa"/>
              <w:end w:w="5.65pt" w:type="dxa"/>
            </w:tcMar>
            <w:vAlign w:val="center"/>
          </w:tcPr>
          <w:p w14:paraId="120EF50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60 personas</w:t>
            </w:r>
          </w:p>
        </w:tc>
      </w:tr>
      <w:tr w:rsidR="006331E1" w14:paraId="717975BD" w14:textId="77777777" w:rsidTr="00654BC5">
        <w:trPr>
          <w:trHeight w:val="1065"/>
          <w:jc w:val="center"/>
        </w:trPr>
        <w:tc>
          <w:tcPr>
            <w:tcW w:w="92.25pt" w:type="dxa"/>
            <w:tcBorders>
              <w:start w:val="nil"/>
              <w:end w:val="nil"/>
            </w:tcBorders>
            <w:tcMar>
              <w:top w:w="5.65pt" w:type="dxa"/>
              <w:start w:w="5.65pt" w:type="dxa"/>
              <w:bottom w:w="5.65pt" w:type="dxa"/>
              <w:end w:w="5.65pt" w:type="dxa"/>
            </w:tcMar>
            <w:vAlign w:val="center"/>
          </w:tcPr>
          <w:p w14:paraId="0B6B6A6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Marko</w:t>
            </w:r>
            <w:proofErr w:type="spellEnd"/>
            <w:r>
              <w:rPr>
                <w:rFonts w:ascii="Times New Roman" w:eastAsia="Times New Roman" w:hAnsi="Times New Roman" w:cs="Times New Roman"/>
                <w:sz w:val="24"/>
                <w:szCs w:val="24"/>
              </w:rPr>
              <w:t xml:space="preserve"> et al. (2023)</w:t>
            </w:r>
          </w:p>
        </w:tc>
        <w:tc>
          <w:tcPr>
            <w:tcW w:w="73.50pt" w:type="dxa"/>
            <w:tcBorders>
              <w:start w:val="nil"/>
              <w:end w:val="nil"/>
            </w:tcBorders>
            <w:tcMar>
              <w:top w:w="5.65pt" w:type="dxa"/>
              <w:start w:w="5.65pt" w:type="dxa"/>
              <w:bottom w:w="5.65pt" w:type="dxa"/>
              <w:end w:w="5.65pt" w:type="dxa"/>
            </w:tcMar>
            <w:vAlign w:val="center"/>
          </w:tcPr>
          <w:p w14:paraId="32DCB20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57A77A02"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99pt" w:type="dxa"/>
            <w:tcBorders>
              <w:start w:val="nil"/>
              <w:end w:val="nil"/>
            </w:tcBorders>
            <w:tcMar>
              <w:top w:w="5.65pt" w:type="dxa"/>
              <w:start w:w="5.65pt" w:type="dxa"/>
              <w:bottom w:w="5.65pt" w:type="dxa"/>
              <w:end w:w="5.65pt" w:type="dxa"/>
            </w:tcMar>
            <w:vAlign w:val="center"/>
          </w:tcPr>
          <w:p w14:paraId="4F007E0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Encefalograma, Cuestionarios y Herramientas de Neuromarketing</w:t>
            </w:r>
          </w:p>
        </w:tc>
        <w:tc>
          <w:tcPr>
            <w:tcW w:w="156pt" w:type="dxa"/>
            <w:tcBorders>
              <w:start w:val="nil"/>
              <w:end w:val="nil"/>
            </w:tcBorders>
            <w:tcMar>
              <w:top w:w="5.65pt" w:type="dxa"/>
              <w:start w:w="5.65pt" w:type="dxa"/>
              <w:bottom w:w="5.65pt" w:type="dxa"/>
              <w:end w:w="5.65pt" w:type="dxa"/>
            </w:tcMar>
            <w:vAlign w:val="center"/>
          </w:tcPr>
          <w:p w14:paraId="60EFFAE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personas pertenecientes a las generaciones Y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Z</w:t>
            </w:r>
          </w:p>
        </w:tc>
      </w:tr>
      <w:tr w:rsidR="006331E1" w14:paraId="75984E60"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5BA6BD3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Baldo et al. (2022)</w:t>
            </w:r>
          </w:p>
        </w:tc>
        <w:tc>
          <w:tcPr>
            <w:tcW w:w="73.50pt" w:type="dxa"/>
            <w:tcBorders>
              <w:start w:val="nil"/>
              <w:end w:val="nil"/>
            </w:tcBorders>
            <w:tcMar>
              <w:top w:w="5.65pt" w:type="dxa"/>
              <w:start w:w="5.65pt" w:type="dxa"/>
              <w:bottom w:w="5.65pt" w:type="dxa"/>
              <w:end w:w="5.65pt" w:type="dxa"/>
            </w:tcMar>
            <w:vAlign w:val="center"/>
          </w:tcPr>
          <w:p w14:paraId="26B67E1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4210034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7B5AD392"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Electroencefalograma (EEG)</w:t>
            </w:r>
          </w:p>
        </w:tc>
        <w:tc>
          <w:tcPr>
            <w:tcW w:w="156pt" w:type="dxa"/>
            <w:tcBorders>
              <w:start w:val="nil"/>
              <w:end w:val="nil"/>
            </w:tcBorders>
            <w:tcMar>
              <w:top w:w="5.65pt" w:type="dxa"/>
              <w:start w:w="5.65pt" w:type="dxa"/>
              <w:bottom w:w="5.65pt" w:type="dxa"/>
              <w:end w:w="5.65pt" w:type="dxa"/>
            </w:tcMar>
            <w:vAlign w:val="center"/>
          </w:tcPr>
          <w:p w14:paraId="66736FE3"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 Residentes de la ciudad de Nueva York</w:t>
            </w:r>
          </w:p>
        </w:tc>
      </w:tr>
      <w:tr w:rsidR="006331E1" w14:paraId="1F8CDDA0" w14:textId="77777777" w:rsidTr="00654BC5">
        <w:trPr>
          <w:trHeight w:val="1575"/>
          <w:jc w:val="center"/>
        </w:trPr>
        <w:tc>
          <w:tcPr>
            <w:tcW w:w="92.25pt" w:type="dxa"/>
            <w:tcBorders>
              <w:start w:val="nil"/>
              <w:end w:val="nil"/>
            </w:tcBorders>
            <w:tcMar>
              <w:top w:w="5.65pt" w:type="dxa"/>
              <w:start w:w="5.65pt" w:type="dxa"/>
              <w:bottom w:w="5.65pt" w:type="dxa"/>
              <w:end w:w="5.65pt" w:type="dxa"/>
            </w:tcMar>
            <w:vAlign w:val="center"/>
          </w:tcPr>
          <w:p w14:paraId="6F039CD4"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Martinez</w:t>
            </w:r>
            <w:proofErr w:type="spellEnd"/>
            <w:r>
              <w:rPr>
                <w:rFonts w:ascii="Times New Roman" w:eastAsia="Times New Roman" w:hAnsi="Times New Roman" w:cs="Times New Roman"/>
                <w:sz w:val="24"/>
                <w:szCs w:val="24"/>
              </w:rPr>
              <w:t>-Levy et al. (2021)</w:t>
            </w:r>
          </w:p>
        </w:tc>
        <w:tc>
          <w:tcPr>
            <w:tcW w:w="73.50pt" w:type="dxa"/>
            <w:tcBorders>
              <w:start w:val="nil"/>
              <w:end w:val="nil"/>
            </w:tcBorders>
            <w:tcMar>
              <w:top w:w="5.65pt" w:type="dxa"/>
              <w:start w:w="5.65pt" w:type="dxa"/>
              <w:bottom w:w="5.65pt" w:type="dxa"/>
              <w:end w:w="5.65pt" w:type="dxa"/>
            </w:tcMar>
            <w:vAlign w:val="center"/>
          </w:tcPr>
          <w:p w14:paraId="78A456D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53A4709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6681104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Electroencefalograma (EEG), Respuesta Galvánica de la Piel (GSR), Resonancia </w:t>
            </w:r>
            <w:r>
              <w:rPr>
                <w:rFonts w:ascii="Times New Roman" w:eastAsia="Times New Roman" w:hAnsi="Times New Roman" w:cs="Times New Roman"/>
                <w:sz w:val="24"/>
                <w:szCs w:val="24"/>
              </w:rPr>
              <w:lastRenderedPageBreak/>
              <w:t>Magnética Funcional (</w:t>
            </w:r>
            <w:proofErr w:type="spellStart"/>
            <w:r>
              <w:rPr>
                <w:rFonts w:ascii="Times New Roman" w:eastAsia="Times New Roman" w:hAnsi="Times New Roman" w:cs="Times New Roman"/>
                <w:sz w:val="24"/>
                <w:szCs w:val="24"/>
              </w:rPr>
              <w:t>fMRI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w:t>
            </w:r>
          </w:p>
        </w:tc>
        <w:tc>
          <w:tcPr>
            <w:tcW w:w="156pt" w:type="dxa"/>
            <w:tcBorders>
              <w:start w:val="nil"/>
              <w:end w:val="nil"/>
            </w:tcBorders>
            <w:tcMar>
              <w:top w:w="5.65pt" w:type="dxa"/>
              <w:start w:w="5.65pt" w:type="dxa"/>
              <w:bottom w:w="5.65pt" w:type="dxa"/>
              <w:end w:w="5.65pt" w:type="dxa"/>
            </w:tcMar>
            <w:vAlign w:val="center"/>
          </w:tcPr>
          <w:p w14:paraId="005A341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72 residentes de Roma y Milán</w:t>
            </w:r>
          </w:p>
        </w:tc>
      </w:tr>
      <w:tr w:rsidR="006331E1" w14:paraId="025A09F8"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7A1F0E5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Boscolo</w:t>
            </w:r>
            <w:proofErr w:type="spellEnd"/>
            <w:r>
              <w:rPr>
                <w:rFonts w:ascii="Times New Roman" w:eastAsia="Times New Roman" w:hAnsi="Times New Roman" w:cs="Times New Roman"/>
                <w:sz w:val="24"/>
                <w:szCs w:val="24"/>
              </w:rPr>
              <w:t xml:space="preserve"> et al. (2021)</w:t>
            </w:r>
          </w:p>
        </w:tc>
        <w:tc>
          <w:tcPr>
            <w:tcW w:w="73.50pt" w:type="dxa"/>
            <w:tcBorders>
              <w:start w:val="nil"/>
              <w:end w:val="nil"/>
            </w:tcBorders>
            <w:tcMar>
              <w:top w:w="5.65pt" w:type="dxa"/>
              <w:start w:w="5.65pt" w:type="dxa"/>
              <w:bottom w:w="5.65pt" w:type="dxa"/>
              <w:end w:w="5.65pt" w:type="dxa"/>
            </w:tcMar>
            <w:vAlign w:val="center"/>
          </w:tcPr>
          <w:p w14:paraId="14768903"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2272E460"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2CAFF7C4"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w:t>
            </w:r>
          </w:p>
        </w:tc>
        <w:tc>
          <w:tcPr>
            <w:tcW w:w="156pt" w:type="dxa"/>
            <w:tcBorders>
              <w:start w:val="nil"/>
              <w:end w:val="nil"/>
            </w:tcBorders>
            <w:tcMar>
              <w:top w:w="5.65pt" w:type="dxa"/>
              <w:start w:w="5.65pt" w:type="dxa"/>
              <w:bottom w:w="5.65pt" w:type="dxa"/>
              <w:end w:w="5.65pt" w:type="dxa"/>
            </w:tcMar>
            <w:vAlign w:val="center"/>
          </w:tcPr>
          <w:p w14:paraId="75C0D93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 estudiantes de una universidad pública en Brasil</w:t>
            </w:r>
          </w:p>
        </w:tc>
      </w:tr>
      <w:tr w:rsidR="006331E1" w14:paraId="532BF317"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533D33A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Stefko</w:t>
            </w:r>
            <w:proofErr w:type="spellEnd"/>
            <w:r>
              <w:rPr>
                <w:rFonts w:ascii="Times New Roman" w:eastAsia="Times New Roman" w:hAnsi="Times New Roman" w:cs="Times New Roman"/>
                <w:sz w:val="24"/>
                <w:szCs w:val="24"/>
              </w:rPr>
              <w:t xml:space="preserve"> et al. (2021)</w:t>
            </w:r>
          </w:p>
        </w:tc>
        <w:tc>
          <w:tcPr>
            <w:tcW w:w="73.50pt" w:type="dxa"/>
            <w:tcBorders>
              <w:start w:val="nil"/>
              <w:end w:val="nil"/>
            </w:tcBorders>
            <w:tcMar>
              <w:top w:w="5.65pt" w:type="dxa"/>
              <w:start w:w="5.65pt" w:type="dxa"/>
              <w:bottom w:w="5.65pt" w:type="dxa"/>
              <w:end w:w="5.65pt" w:type="dxa"/>
            </w:tcMar>
            <w:vAlign w:val="center"/>
          </w:tcPr>
          <w:p w14:paraId="6DF36F3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2EFEE19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end w:val="nil"/>
            </w:tcBorders>
            <w:tcMar>
              <w:top w:w="5.65pt" w:type="dxa"/>
              <w:start w:w="5.65pt" w:type="dxa"/>
              <w:bottom w:w="5.65pt" w:type="dxa"/>
              <w:end w:w="5.65pt" w:type="dxa"/>
            </w:tcMar>
            <w:vAlign w:val="center"/>
          </w:tcPr>
          <w:p w14:paraId="0320DEF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Encuesta</w:t>
            </w:r>
          </w:p>
        </w:tc>
        <w:tc>
          <w:tcPr>
            <w:tcW w:w="156pt" w:type="dxa"/>
            <w:tcBorders>
              <w:start w:val="nil"/>
              <w:end w:val="nil"/>
            </w:tcBorders>
            <w:tcMar>
              <w:top w:w="5.65pt" w:type="dxa"/>
              <w:start w:w="5.65pt" w:type="dxa"/>
              <w:bottom w:w="5.65pt" w:type="dxa"/>
              <w:end w:w="5.65pt" w:type="dxa"/>
            </w:tcMar>
            <w:vAlign w:val="center"/>
          </w:tcPr>
          <w:p w14:paraId="1F17127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 participantes</w:t>
            </w:r>
          </w:p>
        </w:tc>
      </w:tr>
      <w:tr w:rsidR="006331E1" w14:paraId="7CCA6717" w14:textId="77777777" w:rsidTr="00654BC5">
        <w:trPr>
          <w:trHeight w:val="795"/>
          <w:jc w:val="center"/>
        </w:trPr>
        <w:tc>
          <w:tcPr>
            <w:tcW w:w="92.25pt" w:type="dxa"/>
            <w:tcBorders>
              <w:start w:val="nil"/>
              <w:end w:val="nil"/>
            </w:tcBorders>
            <w:tcMar>
              <w:top w:w="5.65pt" w:type="dxa"/>
              <w:start w:w="5.65pt" w:type="dxa"/>
              <w:bottom w:w="5.65pt" w:type="dxa"/>
              <w:end w:w="5.65pt" w:type="dxa"/>
            </w:tcMar>
            <w:vAlign w:val="center"/>
          </w:tcPr>
          <w:p w14:paraId="5819890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Alvino et al. (2019)</w:t>
            </w:r>
          </w:p>
        </w:tc>
        <w:tc>
          <w:tcPr>
            <w:tcW w:w="73.50pt" w:type="dxa"/>
            <w:tcBorders>
              <w:start w:val="nil"/>
              <w:end w:val="nil"/>
            </w:tcBorders>
            <w:tcMar>
              <w:top w:w="5.65pt" w:type="dxa"/>
              <w:start w:w="5.65pt" w:type="dxa"/>
              <w:bottom w:w="5.65pt" w:type="dxa"/>
              <w:end w:w="5.65pt" w:type="dxa"/>
            </w:tcMar>
            <w:vAlign w:val="center"/>
          </w:tcPr>
          <w:p w14:paraId="66A9C86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1A7AC80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73578FFF"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Electroencefalograma (EEG)</w:t>
            </w:r>
          </w:p>
        </w:tc>
        <w:tc>
          <w:tcPr>
            <w:tcW w:w="156pt" w:type="dxa"/>
            <w:tcBorders>
              <w:start w:val="nil"/>
              <w:end w:val="nil"/>
            </w:tcBorders>
            <w:tcMar>
              <w:top w:w="5.65pt" w:type="dxa"/>
              <w:start w:w="5.65pt" w:type="dxa"/>
              <w:bottom w:w="5.65pt" w:type="dxa"/>
              <w:end w:w="5.65pt" w:type="dxa"/>
            </w:tcMar>
            <w:vAlign w:val="center"/>
          </w:tcPr>
          <w:p w14:paraId="013C2E5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31 personas, entre estudiantes y/o trabajadores de una Universidad.</w:t>
            </w:r>
          </w:p>
        </w:tc>
      </w:tr>
      <w:tr w:rsidR="006331E1" w14:paraId="72181B9C"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7BE1D2FE"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Andrii</w:t>
            </w:r>
            <w:proofErr w:type="spellEnd"/>
            <w:r>
              <w:rPr>
                <w:rFonts w:ascii="Times New Roman" w:eastAsia="Times New Roman" w:hAnsi="Times New Roman" w:cs="Times New Roman"/>
                <w:sz w:val="24"/>
                <w:szCs w:val="24"/>
              </w:rPr>
              <w:t xml:space="preserve"> et al. (2019)</w:t>
            </w:r>
          </w:p>
        </w:tc>
        <w:tc>
          <w:tcPr>
            <w:tcW w:w="73.50pt" w:type="dxa"/>
            <w:tcBorders>
              <w:start w:val="nil"/>
              <w:end w:val="nil"/>
            </w:tcBorders>
            <w:tcMar>
              <w:top w:w="5.65pt" w:type="dxa"/>
              <w:start w:w="5.65pt" w:type="dxa"/>
              <w:bottom w:w="5.65pt" w:type="dxa"/>
              <w:end w:w="5.65pt" w:type="dxa"/>
            </w:tcMar>
            <w:vAlign w:val="center"/>
          </w:tcPr>
          <w:p w14:paraId="21684666"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38616EB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0CE1ADD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galvánico de la reacción cutánea (GRS)</w:t>
            </w:r>
          </w:p>
        </w:tc>
        <w:tc>
          <w:tcPr>
            <w:tcW w:w="156pt" w:type="dxa"/>
            <w:tcBorders>
              <w:start w:val="nil"/>
              <w:end w:val="nil"/>
            </w:tcBorders>
            <w:tcMar>
              <w:top w:w="5.65pt" w:type="dxa"/>
              <w:start w:w="5.65pt" w:type="dxa"/>
              <w:bottom w:w="5.65pt" w:type="dxa"/>
              <w:end w:w="5.65pt" w:type="dxa"/>
            </w:tcMar>
            <w:vAlign w:val="center"/>
          </w:tcPr>
          <w:p w14:paraId="48D6C38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Estudio realizado a 10 personas y 15 negocios minoristas</w:t>
            </w:r>
          </w:p>
        </w:tc>
      </w:tr>
      <w:tr w:rsidR="006331E1" w14:paraId="2D808B05" w14:textId="77777777" w:rsidTr="00654BC5">
        <w:trPr>
          <w:trHeight w:val="540"/>
          <w:jc w:val="center"/>
        </w:trPr>
        <w:tc>
          <w:tcPr>
            <w:tcW w:w="92.25pt" w:type="dxa"/>
            <w:tcBorders>
              <w:start w:val="nil"/>
              <w:end w:val="nil"/>
            </w:tcBorders>
            <w:tcMar>
              <w:top w:w="5.65pt" w:type="dxa"/>
              <w:start w:w="5.65pt" w:type="dxa"/>
              <w:bottom w:w="5.65pt" w:type="dxa"/>
              <w:end w:w="5.65pt" w:type="dxa"/>
            </w:tcMar>
            <w:vAlign w:val="center"/>
          </w:tcPr>
          <w:p w14:paraId="21E81C6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Țichindelean</w:t>
            </w:r>
            <w:proofErr w:type="spellEnd"/>
            <w:r>
              <w:rPr>
                <w:rFonts w:ascii="Times New Roman" w:eastAsia="Times New Roman" w:hAnsi="Times New Roman" w:cs="Times New Roman"/>
                <w:sz w:val="24"/>
                <w:szCs w:val="24"/>
              </w:rPr>
              <w:t xml:space="preserve"> et al. (2019)</w:t>
            </w:r>
          </w:p>
        </w:tc>
        <w:tc>
          <w:tcPr>
            <w:tcW w:w="73.50pt" w:type="dxa"/>
            <w:tcBorders>
              <w:start w:val="nil"/>
              <w:end w:val="nil"/>
            </w:tcBorders>
            <w:tcMar>
              <w:top w:w="5.65pt" w:type="dxa"/>
              <w:start w:w="5.65pt" w:type="dxa"/>
              <w:bottom w:w="5.65pt" w:type="dxa"/>
              <w:end w:w="5.65pt" w:type="dxa"/>
            </w:tcMar>
            <w:vAlign w:val="center"/>
          </w:tcPr>
          <w:p w14:paraId="609617BF"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7919D80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6F82202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w:t>
            </w:r>
          </w:p>
        </w:tc>
        <w:tc>
          <w:tcPr>
            <w:tcW w:w="156pt" w:type="dxa"/>
            <w:tcBorders>
              <w:start w:val="nil"/>
              <w:end w:val="nil"/>
            </w:tcBorders>
            <w:tcMar>
              <w:top w:w="5.65pt" w:type="dxa"/>
              <w:start w:w="5.65pt" w:type="dxa"/>
              <w:bottom w:w="5.65pt" w:type="dxa"/>
              <w:end w:w="5.65pt" w:type="dxa"/>
            </w:tcMar>
            <w:vAlign w:val="center"/>
          </w:tcPr>
          <w:p w14:paraId="6E1818E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encuestaron a 22 personas</w:t>
            </w:r>
          </w:p>
        </w:tc>
      </w:tr>
      <w:tr w:rsidR="006331E1" w14:paraId="0D15910C" w14:textId="77777777" w:rsidTr="00654BC5">
        <w:trPr>
          <w:trHeight w:val="795"/>
          <w:jc w:val="center"/>
        </w:trPr>
        <w:tc>
          <w:tcPr>
            <w:tcW w:w="92.25pt" w:type="dxa"/>
            <w:tcBorders>
              <w:start w:val="nil"/>
              <w:end w:val="nil"/>
            </w:tcBorders>
            <w:tcMar>
              <w:top w:w="5.65pt" w:type="dxa"/>
              <w:start w:w="5.65pt" w:type="dxa"/>
              <w:bottom w:w="5.65pt" w:type="dxa"/>
              <w:end w:w="5.65pt" w:type="dxa"/>
            </w:tcMar>
            <w:vAlign w:val="center"/>
          </w:tcPr>
          <w:p w14:paraId="376219B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Giakoni</w:t>
            </w:r>
            <w:proofErr w:type="spellEnd"/>
            <w:r>
              <w:rPr>
                <w:rFonts w:ascii="Times New Roman" w:eastAsia="Times New Roman" w:hAnsi="Times New Roman" w:cs="Times New Roman"/>
                <w:sz w:val="24"/>
                <w:szCs w:val="24"/>
              </w:rPr>
              <w:t xml:space="preserve"> et al. (2022)</w:t>
            </w:r>
          </w:p>
        </w:tc>
        <w:tc>
          <w:tcPr>
            <w:tcW w:w="73.50pt" w:type="dxa"/>
            <w:tcBorders>
              <w:start w:val="nil"/>
              <w:end w:val="nil"/>
            </w:tcBorders>
            <w:tcMar>
              <w:top w:w="5.65pt" w:type="dxa"/>
              <w:start w:w="5.65pt" w:type="dxa"/>
              <w:bottom w:w="5.65pt" w:type="dxa"/>
              <w:end w:w="5.65pt" w:type="dxa"/>
            </w:tcMar>
            <w:vAlign w:val="center"/>
          </w:tcPr>
          <w:p w14:paraId="4980F4E4"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80.25pt" w:type="dxa"/>
            <w:tcBorders>
              <w:start w:val="nil"/>
              <w:end w:val="nil"/>
            </w:tcBorders>
            <w:tcMar>
              <w:top w:w="5.65pt" w:type="dxa"/>
              <w:start w:w="5.65pt" w:type="dxa"/>
              <w:bottom w:w="5.65pt" w:type="dxa"/>
              <w:end w:w="5.65pt" w:type="dxa"/>
            </w:tcMar>
            <w:vAlign w:val="center"/>
          </w:tcPr>
          <w:p w14:paraId="733FBB3F"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pt" w:type="dxa"/>
            <w:tcBorders>
              <w:start w:val="nil"/>
              <w:end w:val="nil"/>
            </w:tcBorders>
            <w:tcMar>
              <w:top w:w="5.65pt" w:type="dxa"/>
              <w:start w:w="5.65pt" w:type="dxa"/>
              <w:bottom w:w="5.65pt" w:type="dxa"/>
              <w:end w:w="5.65pt" w:type="dxa"/>
            </w:tcMar>
            <w:vAlign w:val="center"/>
          </w:tcPr>
          <w:p w14:paraId="6EFF59B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Electroencefalograma (EEG), GSR “Anillo” y Software “</w:t>
            </w:r>
            <w:proofErr w:type="spellStart"/>
            <w:r>
              <w:rPr>
                <w:rFonts w:ascii="Times New Roman" w:eastAsia="Times New Roman" w:hAnsi="Times New Roman" w:cs="Times New Roman"/>
                <w:sz w:val="24"/>
                <w:szCs w:val="24"/>
              </w:rPr>
              <w:t>SennsLab</w:t>
            </w:r>
            <w:proofErr w:type="spellEnd"/>
          </w:p>
        </w:tc>
        <w:tc>
          <w:tcPr>
            <w:tcW w:w="156pt" w:type="dxa"/>
            <w:tcBorders>
              <w:start w:val="nil"/>
              <w:end w:val="nil"/>
            </w:tcBorders>
            <w:tcMar>
              <w:top w:w="5.65pt" w:type="dxa"/>
              <w:start w:w="5.65pt" w:type="dxa"/>
              <w:bottom w:w="5.65pt" w:type="dxa"/>
              <w:end w:w="5.65pt" w:type="dxa"/>
            </w:tcMar>
            <w:vAlign w:val="center"/>
          </w:tcPr>
          <w:p w14:paraId="5521CF2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48 individuos de género masculino, aficionados a los deportes electrónicos</w:t>
            </w:r>
          </w:p>
        </w:tc>
      </w:tr>
      <w:tr w:rsidR="006331E1" w14:paraId="61146839" w14:textId="77777777" w:rsidTr="00654BC5">
        <w:trPr>
          <w:trHeight w:val="1065"/>
          <w:jc w:val="center"/>
        </w:trPr>
        <w:tc>
          <w:tcPr>
            <w:tcW w:w="92.25pt" w:type="dxa"/>
            <w:tcBorders>
              <w:start w:val="nil"/>
              <w:end w:val="nil"/>
            </w:tcBorders>
            <w:tcMar>
              <w:top w:w="5.65pt" w:type="dxa"/>
              <w:start w:w="5.65pt" w:type="dxa"/>
              <w:bottom w:w="5.65pt" w:type="dxa"/>
              <w:end w:w="5.65pt" w:type="dxa"/>
            </w:tcMar>
            <w:vAlign w:val="center"/>
          </w:tcPr>
          <w:p w14:paraId="0F6A267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Ferrer-</w:t>
            </w:r>
            <w:proofErr w:type="spellStart"/>
            <w:r>
              <w:rPr>
                <w:rFonts w:ascii="Times New Roman" w:eastAsia="Times New Roman" w:hAnsi="Times New Roman" w:cs="Times New Roman"/>
                <w:sz w:val="24"/>
                <w:szCs w:val="24"/>
              </w:rPr>
              <w:t>Lopez</w:t>
            </w:r>
            <w:proofErr w:type="spellEnd"/>
            <w:r>
              <w:rPr>
                <w:rFonts w:ascii="Times New Roman" w:eastAsia="Times New Roman" w:hAnsi="Times New Roman" w:cs="Times New Roman"/>
                <w:sz w:val="24"/>
                <w:szCs w:val="24"/>
              </w:rPr>
              <w:t xml:space="preserve"> (2020)</w:t>
            </w:r>
          </w:p>
        </w:tc>
        <w:tc>
          <w:tcPr>
            <w:tcW w:w="73.50pt" w:type="dxa"/>
            <w:tcBorders>
              <w:start w:val="nil"/>
              <w:end w:val="nil"/>
            </w:tcBorders>
            <w:tcMar>
              <w:top w:w="5.65pt" w:type="dxa"/>
              <w:start w:w="5.65pt" w:type="dxa"/>
              <w:bottom w:w="5.65pt" w:type="dxa"/>
              <w:end w:w="5.65pt" w:type="dxa"/>
            </w:tcMar>
            <w:vAlign w:val="center"/>
          </w:tcPr>
          <w:p w14:paraId="76528A6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80.25pt" w:type="dxa"/>
            <w:tcBorders>
              <w:start w:val="nil"/>
              <w:end w:val="nil"/>
            </w:tcBorders>
            <w:tcMar>
              <w:top w:w="5.65pt" w:type="dxa"/>
              <w:start w:w="5.65pt" w:type="dxa"/>
              <w:bottom w:w="5.65pt" w:type="dxa"/>
              <w:end w:w="5.65pt" w:type="dxa"/>
            </w:tcMar>
            <w:vAlign w:val="center"/>
          </w:tcPr>
          <w:p w14:paraId="5794963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99pt" w:type="dxa"/>
            <w:tcBorders>
              <w:start w:val="nil"/>
              <w:end w:val="nil"/>
            </w:tcBorders>
            <w:tcMar>
              <w:top w:w="5.65pt" w:type="dxa"/>
              <w:start w:w="5.65pt" w:type="dxa"/>
              <w:bottom w:w="5.65pt" w:type="dxa"/>
              <w:end w:w="5.65pt" w:type="dxa"/>
            </w:tcMar>
            <w:vAlign w:val="center"/>
          </w:tcPr>
          <w:p w14:paraId="7A52AA8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 </w:t>
            </w:r>
            <w:proofErr w:type="spellStart"/>
            <w:r>
              <w:rPr>
                <w:rFonts w:ascii="Times New Roman" w:eastAsia="Times New Roman" w:hAnsi="Times New Roman" w:cs="Times New Roman"/>
                <w:sz w:val="24"/>
                <w:szCs w:val="24"/>
              </w:rPr>
              <w:t>Sociograph</w:t>
            </w:r>
            <w:proofErr w:type="spellEnd"/>
            <w:r>
              <w:rPr>
                <w:rFonts w:ascii="Times New Roman" w:eastAsia="Times New Roman" w:hAnsi="Times New Roman" w:cs="Times New Roman"/>
                <w:sz w:val="24"/>
                <w:szCs w:val="24"/>
              </w:rPr>
              <w:t>, seguido de una posterior encuesta sobre los contenidos visualizados.</w:t>
            </w:r>
          </w:p>
        </w:tc>
        <w:tc>
          <w:tcPr>
            <w:tcW w:w="156pt" w:type="dxa"/>
            <w:tcBorders>
              <w:start w:val="nil"/>
              <w:end w:val="nil"/>
            </w:tcBorders>
            <w:tcMar>
              <w:top w:w="5.65pt" w:type="dxa"/>
              <w:start w:w="5.65pt" w:type="dxa"/>
              <w:bottom w:w="5.65pt" w:type="dxa"/>
              <w:end w:w="5.65pt" w:type="dxa"/>
            </w:tcMar>
            <w:vAlign w:val="center"/>
          </w:tcPr>
          <w:p w14:paraId="5065810B"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19 personas de entre 11 y 16 años.</w:t>
            </w:r>
          </w:p>
        </w:tc>
      </w:tr>
      <w:tr w:rsidR="006331E1" w14:paraId="0D3088EC" w14:textId="77777777" w:rsidTr="00654BC5">
        <w:trPr>
          <w:jc w:val="center"/>
        </w:trPr>
        <w:tc>
          <w:tcPr>
            <w:tcW w:w="92.25pt" w:type="dxa"/>
            <w:tcBorders>
              <w:start w:val="nil"/>
              <w:end w:val="nil"/>
            </w:tcBorders>
            <w:tcMar>
              <w:top w:w="5.65pt" w:type="dxa"/>
              <w:start w:w="5.65pt" w:type="dxa"/>
              <w:bottom w:w="5.65pt" w:type="dxa"/>
              <w:end w:w="5.65pt" w:type="dxa"/>
            </w:tcMar>
            <w:vAlign w:val="center"/>
          </w:tcPr>
          <w:p w14:paraId="66EF3BC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Garczareck</w:t>
            </w:r>
            <w:proofErr w:type="spellEnd"/>
            <w:r>
              <w:rPr>
                <w:rFonts w:ascii="Times New Roman" w:eastAsia="Times New Roman" w:hAnsi="Times New Roman" w:cs="Times New Roman"/>
                <w:sz w:val="24"/>
                <w:szCs w:val="24"/>
              </w:rPr>
              <w:t xml:space="preserve"> et al. (2021)</w:t>
            </w:r>
          </w:p>
        </w:tc>
        <w:tc>
          <w:tcPr>
            <w:tcW w:w="73.50pt" w:type="dxa"/>
            <w:tcBorders>
              <w:start w:val="nil"/>
              <w:end w:val="nil"/>
            </w:tcBorders>
            <w:tcMar>
              <w:top w:w="5.65pt" w:type="dxa"/>
              <w:start w:w="5.65pt" w:type="dxa"/>
              <w:bottom w:w="5.65pt" w:type="dxa"/>
              <w:end w:w="5.65pt" w:type="dxa"/>
            </w:tcMar>
            <w:vAlign w:val="center"/>
          </w:tcPr>
          <w:p w14:paraId="02D44E4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25CBDA9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99pt" w:type="dxa"/>
            <w:tcBorders>
              <w:start w:val="nil"/>
              <w:end w:val="nil"/>
            </w:tcBorders>
            <w:tcMar>
              <w:top w:w="5.65pt" w:type="dxa"/>
              <w:start w:w="5.65pt" w:type="dxa"/>
              <w:bottom w:w="5.65pt" w:type="dxa"/>
              <w:end w:w="5.65pt" w:type="dxa"/>
            </w:tcMar>
            <w:vAlign w:val="center"/>
          </w:tcPr>
          <w:p w14:paraId="188E1380"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Herramientas empleadas: EEG, EDA y seguimiento ocular</w:t>
            </w:r>
          </w:p>
        </w:tc>
        <w:tc>
          <w:tcPr>
            <w:tcW w:w="156pt" w:type="dxa"/>
            <w:tcBorders>
              <w:start w:val="nil"/>
              <w:end w:val="nil"/>
            </w:tcBorders>
            <w:tcMar>
              <w:top w:w="5.65pt" w:type="dxa"/>
              <w:start w:w="5.65pt" w:type="dxa"/>
              <w:bottom w:w="5.65pt" w:type="dxa"/>
              <w:end w:w="5.65pt" w:type="dxa"/>
            </w:tcMar>
            <w:vAlign w:val="center"/>
          </w:tcPr>
          <w:p w14:paraId="1D8EDFE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participantes voluntarios con edades entre 21 y 34 años</w:t>
            </w:r>
          </w:p>
        </w:tc>
      </w:tr>
      <w:tr w:rsidR="006331E1" w14:paraId="16688263" w14:textId="77777777" w:rsidTr="00654BC5">
        <w:trPr>
          <w:trHeight w:val="1320"/>
          <w:jc w:val="center"/>
        </w:trPr>
        <w:tc>
          <w:tcPr>
            <w:tcW w:w="92.25pt" w:type="dxa"/>
            <w:tcBorders>
              <w:start w:val="nil"/>
              <w:end w:val="nil"/>
            </w:tcBorders>
            <w:tcMar>
              <w:top w:w="5.65pt" w:type="dxa"/>
              <w:start w:w="5.65pt" w:type="dxa"/>
              <w:bottom w:w="5.65pt" w:type="dxa"/>
              <w:end w:w="5.65pt" w:type="dxa"/>
            </w:tcMar>
            <w:vAlign w:val="center"/>
          </w:tcPr>
          <w:p w14:paraId="1A017DB5"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Herrando et al. (2022)</w:t>
            </w:r>
          </w:p>
        </w:tc>
        <w:tc>
          <w:tcPr>
            <w:tcW w:w="73.50pt" w:type="dxa"/>
            <w:tcBorders>
              <w:start w:val="nil"/>
              <w:end w:val="nil"/>
            </w:tcBorders>
            <w:tcMar>
              <w:top w:w="5.65pt" w:type="dxa"/>
              <w:start w:w="5.65pt" w:type="dxa"/>
              <w:bottom w:w="5.65pt" w:type="dxa"/>
              <w:end w:w="5.65pt" w:type="dxa"/>
            </w:tcMar>
            <w:vAlign w:val="center"/>
          </w:tcPr>
          <w:p w14:paraId="46405688"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2D4467B7"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99pt" w:type="dxa"/>
            <w:tcBorders>
              <w:start w:val="nil"/>
              <w:end w:val="nil"/>
            </w:tcBorders>
            <w:tcMar>
              <w:top w:w="5.65pt" w:type="dxa"/>
              <w:start w:w="5.65pt" w:type="dxa"/>
              <w:bottom w:w="5.65pt" w:type="dxa"/>
              <w:end w:w="5.65pt" w:type="dxa"/>
            </w:tcMar>
            <w:vAlign w:val="center"/>
          </w:tcPr>
          <w:p w14:paraId="344B95D2"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aplicaron un experimento neurofisiológico, seguido de una encuesta</w:t>
            </w:r>
          </w:p>
        </w:tc>
        <w:tc>
          <w:tcPr>
            <w:tcW w:w="156pt" w:type="dxa"/>
            <w:tcBorders>
              <w:start w:val="nil"/>
              <w:end w:val="nil"/>
            </w:tcBorders>
            <w:tcMar>
              <w:top w:w="5.65pt" w:type="dxa"/>
              <w:start w:w="5.65pt" w:type="dxa"/>
              <w:bottom w:w="5.65pt" w:type="dxa"/>
              <w:end w:w="5.65pt" w:type="dxa"/>
            </w:tcMar>
            <w:vAlign w:val="center"/>
          </w:tcPr>
          <w:p w14:paraId="52BF77EC"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194 participantes con edades entre 18 y 34 años, pertenecientes a las generaciones Z y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Todos los consumidores eran consumidores de comercio social.</w:t>
            </w:r>
          </w:p>
        </w:tc>
      </w:tr>
      <w:tr w:rsidR="006331E1" w14:paraId="559CC8EF" w14:textId="77777777" w:rsidTr="00654BC5">
        <w:trPr>
          <w:trHeight w:val="1320"/>
          <w:jc w:val="center"/>
        </w:trPr>
        <w:tc>
          <w:tcPr>
            <w:tcW w:w="92.25pt" w:type="dxa"/>
            <w:tcBorders>
              <w:start w:val="nil"/>
              <w:end w:val="nil"/>
            </w:tcBorders>
            <w:tcMar>
              <w:top w:w="5.65pt" w:type="dxa"/>
              <w:start w:w="5.65pt" w:type="dxa"/>
              <w:bottom w:w="5.65pt" w:type="dxa"/>
              <w:end w:w="5.65pt" w:type="dxa"/>
            </w:tcMar>
            <w:vAlign w:val="center"/>
          </w:tcPr>
          <w:p w14:paraId="425EC7C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Fondevilla</w:t>
            </w:r>
            <w:proofErr w:type="spellEnd"/>
            <w:r>
              <w:rPr>
                <w:rFonts w:ascii="Times New Roman" w:eastAsia="Times New Roman" w:hAnsi="Times New Roman" w:cs="Times New Roman"/>
                <w:sz w:val="24"/>
                <w:szCs w:val="24"/>
              </w:rPr>
              <w:t xml:space="preserve"> et al (2020)</w:t>
            </w:r>
          </w:p>
        </w:tc>
        <w:tc>
          <w:tcPr>
            <w:tcW w:w="73.50pt" w:type="dxa"/>
            <w:tcBorders>
              <w:start w:val="nil"/>
              <w:end w:val="nil"/>
            </w:tcBorders>
            <w:tcMar>
              <w:top w:w="5.65pt" w:type="dxa"/>
              <w:start w:w="5.65pt" w:type="dxa"/>
              <w:bottom w:w="5.65pt" w:type="dxa"/>
              <w:end w:w="5.65pt" w:type="dxa"/>
            </w:tcMar>
            <w:vAlign w:val="center"/>
          </w:tcPr>
          <w:p w14:paraId="49235039"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end w:val="nil"/>
            </w:tcBorders>
            <w:tcMar>
              <w:top w:w="5.65pt" w:type="dxa"/>
              <w:start w:w="5.65pt" w:type="dxa"/>
              <w:bottom w:w="5.65pt" w:type="dxa"/>
              <w:end w:w="5.65pt" w:type="dxa"/>
            </w:tcMar>
            <w:vAlign w:val="center"/>
          </w:tcPr>
          <w:p w14:paraId="6AC96B4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99pt" w:type="dxa"/>
            <w:tcBorders>
              <w:start w:val="nil"/>
              <w:end w:val="nil"/>
            </w:tcBorders>
            <w:tcMar>
              <w:top w:w="5.65pt" w:type="dxa"/>
              <w:start w:w="5.65pt" w:type="dxa"/>
              <w:bottom w:w="5.65pt" w:type="dxa"/>
              <w:end w:w="5.65pt" w:type="dxa"/>
            </w:tcMar>
            <w:vAlign w:val="center"/>
          </w:tcPr>
          <w:p w14:paraId="4C24809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 </w:t>
            </w:r>
            <w:proofErr w:type="spellStart"/>
            <w:r>
              <w:rPr>
                <w:rFonts w:ascii="Times New Roman" w:eastAsia="Times New Roman" w:hAnsi="Times New Roman" w:cs="Times New Roman"/>
                <w:sz w:val="24"/>
                <w:szCs w:val="24"/>
              </w:rPr>
              <w:t>Sociograph</w:t>
            </w:r>
            <w:proofErr w:type="spellEnd"/>
            <w:r>
              <w:rPr>
                <w:rFonts w:ascii="Times New Roman" w:eastAsia="Times New Roman" w:hAnsi="Times New Roman" w:cs="Times New Roman"/>
                <w:sz w:val="24"/>
                <w:szCs w:val="24"/>
              </w:rPr>
              <w:t xml:space="preserve"> y para medir la actividad </w:t>
            </w:r>
            <w:proofErr w:type="spellStart"/>
            <w:r>
              <w:rPr>
                <w:rFonts w:ascii="Times New Roman" w:eastAsia="Times New Roman" w:hAnsi="Times New Roman" w:cs="Times New Roman"/>
                <w:sz w:val="24"/>
                <w:szCs w:val="24"/>
              </w:rPr>
              <w:t>electrodérmica</w:t>
            </w:r>
            <w:proofErr w:type="spellEnd"/>
            <w:r>
              <w:rPr>
                <w:rFonts w:ascii="Times New Roman" w:eastAsia="Times New Roman" w:hAnsi="Times New Roman" w:cs="Times New Roman"/>
                <w:sz w:val="24"/>
                <w:szCs w:val="24"/>
              </w:rPr>
              <w:t xml:space="preserve"> utilizan el instrumento EDA</w:t>
            </w:r>
          </w:p>
        </w:tc>
        <w:tc>
          <w:tcPr>
            <w:tcW w:w="156pt" w:type="dxa"/>
            <w:tcBorders>
              <w:start w:val="nil"/>
              <w:end w:val="nil"/>
            </w:tcBorders>
            <w:tcMar>
              <w:top w:w="5.65pt" w:type="dxa"/>
              <w:start w:w="5.65pt" w:type="dxa"/>
              <w:bottom w:w="5.65pt" w:type="dxa"/>
              <w:end w:w="5.65pt" w:type="dxa"/>
            </w:tcMar>
            <w:vAlign w:val="center"/>
          </w:tcPr>
          <w:p w14:paraId="2F652081"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individuos participaron del experimento con edades entre 18 y 24 años</w:t>
            </w:r>
          </w:p>
        </w:tc>
      </w:tr>
      <w:tr w:rsidR="006331E1" w14:paraId="3E5BABEE" w14:textId="77777777" w:rsidTr="00654BC5">
        <w:trPr>
          <w:trHeight w:val="1575"/>
          <w:jc w:val="center"/>
        </w:trPr>
        <w:tc>
          <w:tcPr>
            <w:tcW w:w="92.25pt" w:type="dxa"/>
            <w:tcBorders>
              <w:start w:val="nil"/>
              <w:bottom w:val="single" w:sz="8" w:space="0" w:color="000000"/>
              <w:end w:val="nil"/>
            </w:tcBorders>
            <w:tcMar>
              <w:top w:w="5.65pt" w:type="dxa"/>
              <w:start w:w="5.65pt" w:type="dxa"/>
              <w:bottom w:w="5.65pt" w:type="dxa"/>
              <w:end w:w="5.65pt" w:type="dxa"/>
            </w:tcMar>
            <w:vAlign w:val="center"/>
          </w:tcPr>
          <w:p w14:paraId="7AD54B04"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Zahmati</w:t>
            </w:r>
            <w:proofErr w:type="spellEnd"/>
            <w:r>
              <w:rPr>
                <w:rFonts w:ascii="Times New Roman" w:eastAsia="Times New Roman" w:hAnsi="Times New Roman" w:cs="Times New Roman"/>
                <w:sz w:val="24"/>
                <w:szCs w:val="24"/>
              </w:rPr>
              <w:t xml:space="preserve"> et al (2023)</w:t>
            </w:r>
          </w:p>
        </w:tc>
        <w:tc>
          <w:tcPr>
            <w:tcW w:w="73.50pt" w:type="dxa"/>
            <w:tcBorders>
              <w:start w:val="nil"/>
              <w:bottom w:val="single" w:sz="8" w:space="0" w:color="000000"/>
              <w:end w:val="nil"/>
            </w:tcBorders>
            <w:tcMar>
              <w:top w:w="5.65pt" w:type="dxa"/>
              <w:start w:w="5.65pt" w:type="dxa"/>
              <w:bottom w:w="5.65pt" w:type="dxa"/>
              <w:end w:w="5.65pt" w:type="dxa"/>
            </w:tcMar>
            <w:vAlign w:val="center"/>
          </w:tcPr>
          <w:p w14:paraId="63ABE29E"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80.25pt" w:type="dxa"/>
            <w:tcBorders>
              <w:start w:val="nil"/>
              <w:bottom w:val="single" w:sz="8" w:space="0" w:color="000000"/>
              <w:end w:val="nil"/>
            </w:tcBorders>
            <w:tcMar>
              <w:top w:w="5.65pt" w:type="dxa"/>
              <w:start w:w="5.65pt" w:type="dxa"/>
              <w:bottom w:w="5.65pt" w:type="dxa"/>
              <w:end w:w="5.65pt" w:type="dxa"/>
            </w:tcMar>
            <w:vAlign w:val="center"/>
          </w:tcPr>
          <w:p w14:paraId="5421C580"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Correlacional</w:t>
            </w:r>
          </w:p>
        </w:tc>
        <w:tc>
          <w:tcPr>
            <w:tcW w:w="99pt" w:type="dxa"/>
            <w:tcBorders>
              <w:start w:val="nil"/>
              <w:bottom w:val="single" w:sz="8" w:space="0" w:color="000000"/>
              <w:end w:val="nil"/>
            </w:tcBorders>
            <w:tcMar>
              <w:top w:w="5.65pt" w:type="dxa"/>
              <w:start w:w="5.65pt" w:type="dxa"/>
              <w:bottom w:w="5.65pt" w:type="dxa"/>
              <w:end w:w="5.65pt" w:type="dxa"/>
            </w:tcMar>
            <w:vAlign w:val="center"/>
          </w:tcPr>
          <w:p w14:paraId="2EA2B43D"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emplearon gafas de seguimiento ocular para rastrear los movimiento oculares de los participantes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tracking)</w:t>
            </w:r>
          </w:p>
        </w:tc>
        <w:tc>
          <w:tcPr>
            <w:tcW w:w="156pt" w:type="dxa"/>
            <w:tcBorders>
              <w:start w:val="nil"/>
              <w:bottom w:val="single" w:sz="8" w:space="0" w:color="000000"/>
              <w:end w:val="nil"/>
            </w:tcBorders>
            <w:tcMar>
              <w:top w:w="5.65pt" w:type="dxa"/>
              <w:start w:w="5.65pt" w:type="dxa"/>
              <w:bottom w:w="5.65pt" w:type="dxa"/>
              <w:end w:w="5.65pt" w:type="dxa"/>
            </w:tcMar>
            <w:vAlign w:val="center"/>
          </w:tcPr>
          <w:p w14:paraId="32E961DA" w14:textId="77777777" w:rsidR="006331E1" w:rsidRDefault="006331E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estudiantes universitarios</w:t>
            </w:r>
          </w:p>
        </w:tc>
      </w:tr>
    </w:tbl>
    <w:p w14:paraId="5DDFAB17"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68B38531"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 función a los datos presentes en la tabla 2 se evidencia la inclinación de los autores por utilizar un enfoque cuantitativo (13); siendo este el enfoque del 65% de los artículos estudiados. A su vez, el 30% de los estudios presenta un enfoque mixto (6), lo que nos deja con un único artículo que emplea un enfoque cualitativo para ahondar en la investigación de neuromarketing; esto se evidencia en la Figura 2.</w:t>
      </w:r>
    </w:p>
    <w:p w14:paraId="4A09A1F6"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Figura 2.</w:t>
      </w:r>
      <w:r>
        <w:rPr>
          <w:rFonts w:ascii="Times New Roman" w:eastAsia="Times New Roman" w:hAnsi="Times New Roman" w:cs="Times New Roman"/>
          <w:b/>
          <w:sz w:val="24"/>
          <w:szCs w:val="24"/>
        </w:rPr>
        <w:t xml:space="preserve"> Distribución Según Enfoque</w:t>
      </w:r>
    </w:p>
    <w:p w14:paraId="6E972930" w14:textId="77777777" w:rsidR="006331E1" w:rsidRDefault="006331E1" w:rsidP="006331E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A67E7BC" wp14:editId="5F31F063">
            <wp:extent cx="3285074" cy="2450488"/>
            <wp:effectExtent l="0" t="0" r="0" b="0"/>
            <wp:docPr id="1" name="image2.png" descr="Gráfico"/>
            <wp:cNvGraphicFramePr/>
            <a:graphic xmlns:a="http://purl.oclc.org/ooxml/drawingml/main">
              <a:graphicData uri="http://purl.oclc.org/ooxml/drawingml/picture">
                <pic:pic xmlns:pic="http://purl.oclc.org/ooxml/drawingml/picture">
                  <pic:nvPicPr>
                    <pic:cNvPr id="0" name="image2.png" descr="Gráfico"/>
                    <pic:cNvPicPr preferRelativeResize="0"/>
                  </pic:nvPicPr>
                  <pic:blipFill>
                    <a:blip r:embed="rId23"/>
                    <a:srcRect/>
                    <a:stretch>
                      <a:fillRect/>
                    </a:stretch>
                  </pic:blipFill>
                  <pic:spPr>
                    <a:xfrm>
                      <a:off x="0" y="0"/>
                      <a:ext cx="3285074" cy="2450488"/>
                    </a:xfrm>
                    <a:prstGeom prst="rect">
                      <a:avLst/>
                    </a:prstGeom>
                    <a:ln/>
                  </pic:spPr>
                </pic:pic>
              </a:graphicData>
            </a:graphic>
          </wp:inline>
        </w:drawing>
      </w:r>
    </w:p>
    <w:p w14:paraId="381419F0"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7633DDA2"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Del mismo modo, en la Figura 3, se evidencia mediante la clasificación de artículos por alcance la inclinación por utilizar los alcances experimentales (8) y correlacional (7), siendo estos el 40% y 35% de los artículos analizados respectivamente.</w:t>
      </w:r>
    </w:p>
    <w:p w14:paraId="3ECA7AB3" w14:textId="77777777" w:rsidR="006331E1" w:rsidRDefault="006331E1" w:rsidP="006331E1">
      <w:pPr>
        <w:spacing w:after="10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Figura 3.</w:t>
      </w:r>
      <w:r>
        <w:rPr>
          <w:rFonts w:ascii="Times New Roman" w:eastAsia="Times New Roman" w:hAnsi="Times New Roman" w:cs="Times New Roman"/>
          <w:b/>
          <w:sz w:val="24"/>
          <w:szCs w:val="24"/>
        </w:rPr>
        <w:t xml:space="preserve"> Clasificación de Artículos por Alcance</w:t>
      </w:r>
    </w:p>
    <w:p w14:paraId="78D1FFC3" w14:textId="77777777" w:rsidR="006331E1" w:rsidRDefault="006331E1" w:rsidP="006331E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DFDEAF" wp14:editId="3C6E9573">
            <wp:extent cx="3653417" cy="2623900"/>
            <wp:effectExtent l="0" t="0" r="0" b="0"/>
            <wp:docPr id="2" name="image1.png" descr="Gráfico"/>
            <wp:cNvGraphicFramePr/>
            <a:graphic xmlns:a="http://purl.oclc.org/ooxml/drawingml/main">
              <a:graphicData uri="http://purl.oclc.org/ooxml/drawingml/picture">
                <pic:pic xmlns:pic="http://purl.oclc.org/ooxml/drawingml/picture">
                  <pic:nvPicPr>
                    <pic:cNvPr id="0" name="image1.png" descr="Gráfico"/>
                    <pic:cNvPicPr preferRelativeResize="0"/>
                  </pic:nvPicPr>
                  <pic:blipFill>
                    <a:blip r:embed="rId24"/>
                    <a:srcRect/>
                    <a:stretch>
                      <a:fillRect/>
                    </a:stretch>
                  </pic:blipFill>
                  <pic:spPr>
                    <a:xfrm>
                      <a:off x="0" y="0"/>
                      <a:ext cx="3653417" cy="2623900"/>
                    </a:xfrm>
                    <a:prstGeom prst="rect">
                      <a:avLst/>
                    </a:prstGeom>
                    <a:ln/>
                  </pic:spPr>
                </pic:pic>
              </a:graphicData>
            </a:graphic>
          </wp:inline>
        </w:drawing>
      </w:r>
    </w:p>
    <w:p w14:paraId="2B4DDAC5" w14:textId="77777777" w:rsidR="006331E1" w:rsidRDefault="006331E1" w:rsidP="006331E1">
      <w:pPr>
        <w:spacing w:after="1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64CE8604" w14:textId="77777777" w:rsidR="006331E1" w:rsidRDefault="006331E1" w:rsidP="006331E1">
      <w:pPr>
        <w:spacing w:after="10pt" w:line="18pt" w:lineRule="auto"/>
        <w:jc w:val="both"/>
        <w:rPr>
          <w:rFonts w:ascii="Times New Roman" w:eastAsia="Times New Roman" w:hAnsi="Times New Roman" w:cs="Times New Roman"/>
          <w:i/>
          <w:color w:val="999999"/>
          <w:sz w:val="24"/>
          <w:szCs w:val="24"/>
        </w:rPr>
      </w:pPr>
    </w:p>
    <w:p w14:paraId="61F8281C" w14:textId="77777777" w:rsidR="006331E1" w:rsidRDefault="006331E1" w:rsidP="006331E1">
      <w:pPr>
        <w:spacing w:after="10pt" w:line="18pt"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Objetivo específico 3: Analizar las conclusiones de las investigaciones desarrolladas sobre el neuromarketing y el comportamiento del consumidor.</w:t>
      </w:r>
    </w:p>
    <w:p w14:paraId="0827A027" w14:textId="77777777" w:rsidR="006331E1" w:rsidRDefault="006331E1" w:rsidP="006331E1">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presentamos las principales conclusiones derivadas de distintas investigaciones en el campo del neuromarketing y su relación con el comportamiento del consumidor, las conclusiones fueron recopiladas y distribuidas de forma ordenada en la siguiente tabla para una mejor comprensión y análisis.</w:t>
      </w:r>
    </w:p>
    <w:p w14:paraId="7337B3CF" w14:textId="77777777" w:rsidR="006331E1" w:rsidRDefault="006331E1" w:rsidP="006331E1">
      <w:pPr>
        <w:spacing w:line="18pt" w:lineRule="auto"/>
        <w:jc w:val="both"/>
        <w:rPr>
          <w:rFonts w:ascii="Times New Roman" w:eastAsia="Times New Roman" w:hAnsi="Times New Roman" w:cs="Times New Roman"/>
          <w:sz w:val="24"/>
          <w:szCs w:val="24"/>
        </w:rPr>
      </w:pPr>
    </w:p>
    <w:p w14:paraId="3AF9FC84" w14:textId="77777777" w:rsidR="006331E1" w:rsidRDefault="006331E1" w:rsidP="006331E1">
      <w:pPr>
        <w:spacing w:after="10pt"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Tabla 4.</w:t>
      </w:r>
      <w:r>
        <w:rPr>
          <w:rFonts w:ascii="Times New Roman" w:eastAsia="Times New Roman" w:hAnsi="Times New Roman" w:cs="Times New Roman"/>
          <w:b/>
          <w:sz w:val="24"/>
          <w:szCs w:val="24"/>
        </w:rPr>
        <w:t xml:space="preserve"> Autores, objetivos y conclusiones</w:t>
      </w:r>
    </w:p>
    <w:tbl>
      <w:tblPr>
        <w:tblW w:w="456pt" w:type="dxa"/>
        <w:jc w:val="center"/>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Look w:firstRow="0" w:lastRow="0" w:firstColumn="0" w:lastColumn="0" w:noHBand="1" w:noVBand="1"/>
      </w:tblPr>
      <w:tblGrid>
        <w:gridCol w:w="2145"/>
        <w:gridCol w:w="3600"/>
        <w:gridCol w:w="3375"/>
      </w:tblGrid>
      <w:tr w:rsidR="006331E1" w14:paraId="4FEFD5C3" w14:textId="77777777" w:rsidTr="00654BC5">
        <w:trPr>
          <w:jc w:val="center"/>
        </w:trPr>
        <w:tc>
          <w:tcPr>
            <w:tcW w:w="107.25pt" w:type="dxa"/>
            <w:tcBorders>
              <w:top w:val="single" w:sz="12" w:space="0" w:color="000000"/>
              <w:start w:val="nil"/>
              <w:end w:val="nil"/>
            </w:tcBorders>
            <w:shd w:val="clear" w:color="auto" w:fill="auto"/>
            <w:tcMar>
              <w:top w:w="5pt" w:type="dxa"/>
              <w:start w:w="5pt" w:type="dxa"/>
              <w:bottom w:w="5pt" w:type="dxa"/>
              <w:end w:w="5pt" w:type="dxa"/>
            </w:tcMar>
          </w:tcPr>
          <w:p w14:paraId="23593895" w14:textId="77777777" w:rsidR="006331E1" w:rsidRDefault="006331E1" w:rsidP="00654BC5">
            <w:pPr>
              <w:widowControl w:val="0"/>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 año</w:t>
            </w:r>
          </w:p>
        </w:tc>
        <w:tc>
          <w:tcPr>
            <w:tcW w:w="180pt" w:type="dxa"/>
            <w:tcBorders>
              <w:top w:val="single" w:sz="12" w:space="0" w:color="000000"/>
              <w:start w:val="nil"/>
              <w:end w:val="nil"/>
            </w:tcBorders>
            <w:shd w:val="clear" w:color="auto" w:fill="auto"/>
            <w:tcMar>
              <w:top w:w="5pt" w:type="dxa"/>
              <w:start w:w="5pt" w:type="dxa"/>
              <w:bottom w:w="5pt" w:type="dxa"/>
              <w:end w:w="5pt" w:type="dxa"/>
            </w:tcMar>
          </w:tcPr>
          <w:p w14:paraId="30DC83CC" w14:textId="77777777" w:rsidR="006331E1" w:rsidRDefault="006331E1" w:rsidP="00654BC5">
            <w:pPr>
              <w:widowControl w:val="0"/>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w:t>
            </w:r>
          </w:p>
        </w:tc>
        <w:tc>
          <w:tcPr>
            <w:tcW w:w="168.75pt" w:type="dxa"/>
            <w:tcBorders>
              <w:top w:val="single" w:sz="12" w:space="0" w:color="000000"/>
              <w:start w:val="nil"/>
              <w:end w:val="nil"/>
            </w:tcBorders>
            <w:shd w:val="clear" w:color="auto" w:fill="auto"/>
            <w:tcMar>
              <w:top w:w="5pt" w:type="dxa"/>
              <w:start w:w="5pt" w:type="dxa"/>
              <w:bottom w:w="5pt" w:type="dxa"/>
              <w:end w:w="5pt" w:type="dxa"/>
            </w:tcMar>
          </w:tcPr>
          <w:p w14:paraId="16B8F085" w14:textId="77777777" w:rsidR="006331E1" w:rsidRDefault="006331E1" w:rsidP="00654BC5">
            <w:pPr>
              <w:widowControl w:val="0"/>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Conclusiones</w:t>
            </w:r>
          </w:p>
        </w:tc>
      </w:tr>
      <w:tr w:rsidR="006331E1" w14:paraId="66B3D90F" w14:textId="77777777" w:rsidTr="00654BC5">
        <w:trPr>
          <w:trHeight w:val="2876"/>
          <w:jc w:val="center"/>
        </w:trPr>
        <w:tc>
          <w:tcPr>
            <w:tcW w:w="107.25pt" w:type="dxa"/>
            <w:tcBorders>
              <w:start w:val="nil"/>
              <w:end w:val="nil"/>
            </w:tcBorders>
            <w:tcMar>
              <w:top w:w="5pt" w:type="dxa"/>
              <w:start w:w="5pt" w:type="dxa"/>
              <w:bottom w:w="5pt" w:type="dxa"/>
              <w:end w:w="5pt" w:type="dxa"/>
            </w:tcMar>
          </w:tcPr>
          <w:p w14:paraId="3EE88390"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Bercík</w:t>
            </w:r>
            <w:proofErr w:type="spellEnd"/>
            <w:r>
              <w:rPr>
                <w:rFonts w:ascii="Times New Roman" w:eastAsia="Times New Roman" w:hAnsi="Times New Roman" w:cs="Times New Roman"/>
                <w:sz w:val="24"/>
                <w:szCs w:val="24"/>
              </w:rPr>
              <w:t xml:space="preserve"> et al. (2024)</w:t>
            </w:r>
          </w:p>
        </w:tc>
        <w:tc>
          <w:tcPr>
            <w:tcW w:w="180pt" w:type="dxa"/>
            <w:tcBorders>
              <w:start w:val="nil"/>
              <w:end w:val="nil"/>
            </w:tcBorders>
            <w:shd w:val="clear" w:color="auto" w:fill="auto"/>
            <w:tcMar>
              <w:top w:w="5pt" w:type="dxa"/>
              <w:start w:w="5pt" w:type="dxa"/>
              <w:bottom w:w="5pt" w:type="dxa"/>
              <w:end w:w="5pt" w:type="dxa"/>
            </w:tcMar>
          </w:tcPr>
          <w:p w14:paraId="790C1076"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Mediante </w:t>
            </w:r>
            <w:proofErr w:type="spellStart"/>
            <w:r>
              <w:rPr>
                <w:rFonts w:ascii="Times New Roman" w:eastAsia="Times New Roman" w:hAnsi="Times New Roman" w:cs="Times New Roman"/>
                <w:sz w:val="24"/>
                <w:szCs w:val="24"/>
              </w:rPr>
              <w:t>facerider</w:t>
            </w:r>
            <w:proofErr w:type="spellEnd"/>
            <w:r>
              <w:rPr>
                <w:rFonts w:ascii="Times New Roman" w:eastAsia="Times New Roman" w:hAnsi="Times New Roman" w:cs="Times New Roman"/>
                <w:sz w:val="24"/>
                <w:szCs w:val="24"/>
              </w:rPr>
              <w:t xml:space="preserve"> analizar las expresiones faciales para identificar emociones al percibir distintos aromas de pan. Esto permitirá evaluar diferencias emocionales entre clientes.</w:t>
            </w:r>
          </w:p>
        </w:tc>
        <w:tc>
          <w:tcPr>
            <w:tcW w:w="168.75pt" w:type="dxa"/>
            <w:tcBorders>
              <w:start w:val="nil"/>
              <w:end w:val="nil"/>
            </w:tcBorders>
            <w:shd w:val="clear" w:color="auto" w:fill="auto"/>
            <w:tcMar>
              <w:top w:w="5pt" w:type="dxa"/>
              <w:start w:w="5pt" w:type="dxa"/>
              <w:bottom w:w="5pt" w:type="dxa"/>
              <w:end w:w="5pt" w:type="dxa"/>
            </w:tcMar>
          </w:tcPr>
          <w:p w14:paraId="5EE0874F"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La importancia de comprender cómo los aromas influyen en las emociones de los consumidores para estrategias de marketing efectivas. </w:t>
            </w:r>
          </w:p>
        </w:tc>
      </w:tr>
      <w:tr w:rsidR="006331E1" w14:paraId="235067C0"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1C9AFBDA"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Kakaria</w:t>
            </w:r>
            <w:proofErr w:type="spellEnd"/>
            <w:r>
              <w:rPr>
                <w:rFonts w:ascii="Times New Roman" w:eastAsia="Times New Roman" w:hAnsi="Times New Roman" w:cs="Times New Roman"/>
                <w:sz w:val="24"/>
                <w:szCs w:val="24"/>
              </w:rPr>
              <w:t xml:space="preserve"> et al. (2023)</w:t>
            </w:r>
          </w:p>
        </w:tc>
        <w:tc>
          <w:tcPr>
            <w:tcW w:w="180pt" w:type="dxa"/>
            <w:tcBorders>
              <w:start w:val="nil"/>
              <w:end w:val="nil"/>
            </w:tcBorders>
            <w:shd w:val="clear" w:color="auto" w:fill="auto"/>
            <w:tcMar>
              <w:top w:w="5pt" w:type="dxa"/>
              <w:start w:w="5pt" w:type="dxa"/>
              <w:bottom w:w="5pt" w:type="dxa"/>
              <w:end w:w="5pt" w:type="dxa"/>
            </w:tcMar>
          </w:tcPr>
          <w:p w14:paraId="00BCA727"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Investigar la carga cognitiva durante compras planificadas y no planificadas en entornos virtuales, utilizando EEG y medidas de autoinforme.</w:t>
            </w:r>
          </w:p>
        </w:tc>
        <w:tc>
          <w:tcPr>
            <w:tcW w:w="168.75pt" w:type="dxa"/>
            <w:tcBorders>
              <w:start w:val="nil"/>
              <w:end w:val="nil"/>
            </w:tcBorders>
            <w:shd w:val="clear" w:color="auto" w:fill="auto"/>
            <w:tcMar>
              <w:top w:w="5pt" w:type="dxa"/>
              <w:start w:w="5pt" w:type="dxa"/>
              <w:bottom w:w="5pt" w:type="dxa"/>
              <w:end w:w="5pt" w:type="dxa"/>
            </w:tcMar>
          </w:tcPr>
          <w:p w14:paraId="6065252F"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que la carga cognitiva es mayor en compras planificadas, resaltando la importancia de promociones. La sensación de presencia impacta en el tiempo de permanencia y en el comportamiento de compra.</w:t>
            </w:r>
          </w:p>
        </w:tc>
      </w:tr>
      <w:tr w:rsidR="006331E1" w14:paraId="0BDFC196"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5EA8F05D"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Juárez </w:t>
            </w:r>
            <w:proofErr w:type="spellStart"/>
            <w:r>
              <w:rPr>
                <w:rFonts w:ascii="Times New Roman" w:eastAsia="Times New Roman" w:hAnsi="Times New Roman" w:cs="Times New Roman"/>
                <w:sz w:val="24"/>
                <w:szCs w:val="24"/>
              </w:rPr>
              <w:t>Varon</w:t>
            </w:r>
            <w:proofErr w:type="spellEnd"/>
            <w:r>
              <w:rPr>
                <w:rFonts w:ascii="Times New Roman" w:eastAsia="Times New Roman" w:hAnsi="Times New Roman" w:cs="Times New Roman"/>
                <w:sz w:val="24"/>
                <w:szCs w:val="24"/>
              </w:rPr>
              <w:t xml:space="preserve"> et al. (2023)</w:t>
            </w:r>
          </w:p>
        </w:tc>
        <w:tc>
          <w:tcPr>
            <w:tcW w:w="180pt" w:type="dxa"/>
            <w:tcBorders>
              <w:start w:val="nil"/>
              <w:end w:val="nil"/>
            </w:tcBorders>
            <w:shd w:val="clear" w:color="auto" w:fill="auto"/>
            <w:tcMar>
              <w:top w:w="5pt" w:type="dxa"/>
              <w:start w:w="5pt" w:type="dxa"/>
              <w:bottom w:w="5pt" w:type="dxa"/>
              <w:end w:w="5pt" w:type="dxa"/>
            </w:tcMar>
          </w:tcPr>
          <w:p w14:paraId="121A01CB"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del estudio es analizar la experiencia del consumidor ante la presentación de estímulos en una tienda de calzado de moda, utilizando la biometría del neuromarketing para identificar las zonas de la tienda que captan más la atención del usuario.</w:t>
            </w:r>
          </w:p>
        </w:tc>
        <w:tc>
          <w:tcPr>
            <w:tcW w:w="168.75pt" w:type="dxa"/>
            <w:tcBorders>
              <w:start w:val="nil"/>
              <w:end w:val="nil"/>
            </w:tcBorders>
            <w:shd w:val="clear" w:color="auto" w:fill="auto"/>
            <w:tcMar>
              <w:top w:w="5pt" w:type="dxa"/>
              <w:start w:w="5pt" w:type="dxa"/>
              <w:bottom w:w="5pt" w:type="dxa"/>
              <w:end w:w="5pt" w:type="dxa"/>
            </w:tcMar>
          </w:tcPr>
          <w:p w14:paraId="0AC392B4"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conclusión, el estudio muestra que en una tienda de calzado de moda, los estímulos visuales y ambientales impactan las emociones y decisiones del consumidor. El neuromarketing destaca la importancia de la ubicación del producto y la interacción social.</w:t>
            </w:r>
          </w:p>
        </w:tc>
      </w:tr>
      <w:tr w:rsidR="006331E1" w14:paraId="232439B5" w14:textId="77777777" w:rsidTr="00654BC5">
        <w:trPr>
          <w:jc w:val="center"/>
        </w:trPr>
        <w:tc>
          <w:tcPr>
            <w:tcW w:w="107.25pt" w:type="dxa"/>
            <w:tcBorders>
              <w:start w:val="nil"/>
              <w:end w:val="nil"/>
            </w:tcBorders>
            <w:tcMar>
              <w:top w:w="5pt" w:type="dxa"/>
              <w:start w:w="5pt" w:type="dxa"/>
              <w:bottom w:w="5pt" w:type="dxa"/>
              <w:end w:w="5pt" w:type="dxa"/>
            </w:tcMar>
          </w:tcPr>
          <w:p w14:paraId="221241D4"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Laeng</w:t>
            </w:r>
            <w:proofErr w:type="spellEnd"/>
            <w:r>
              <w:rPr>
                <w:rFonts w:ascii="Times New Roman" w:eastAsia="Times New Roman" w:hAnsi="Times New Roman" w:cs="Times New Roman"/>
                <w:sz w:val="24"/>
                <w:szCs w:val="24"/>
              </w:rPr>
              <w:t xml:space="preserve"> et al. (2016)</w:t>
            </w:r>
          </w:p>
        </w:tc>
        <w:tc>
          <w:tcPr>
            <w:tcW w:w="180pt" w:type="dxa"/>
            <w:tcBorders>
              <w:start w:val="nil"/>
              <w:end w:val="nil"/>
            </w:tcBorders>
            <w:shd w:val="clear" w:color="auto" w:fill="auto"/>
            <w:tcMar>
              <w:top w:w="5pt" w:type="dxa"/>
              <w:start w:w="5pt" w:type="dxa"/>
              <w:bottom w:w="5pt" w:type="dxa"/>
              <w:end w:w="5pt" w:type="dxa"/>
            </w:tcMar>
          </w:tcPr>
          <w:p w14:paraId="31742D8B"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Examinar la relación entre la atención visual de los consumidores hacia el diseño de las etiquetas de vino y sus preferencias.</w:t>
            </w:r>
          </w:p>
        </w:tc>
        <w:tc>
          <w:tcPr>
            <w:tcW w:w="168.75pt" w:type="dxa"/>
            <w:tcBorders>
              <w:start w:val="nil"/>
              <w:end w:val="nil"/>
            </w:tcBorders>
            <w:shd w:val="clear" w:color="auto" w:fill="auto"/>
            <w:tcMar>
              <w:top w:w="5pt" w:type="dxa"/>
              <w:start w:w="5pt" w:type="dxa"/>
              <w:bottom w:w="5pt" w:type="dxa"/>
              <w:end w:w="5pt" w:type="dxa"/>
            </w:tcMar>
          </w:tcPr>
          <w:p w14:paraId="51040AEE"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concluye en que la atención visual de los consumidores hacia el diseño de etiquetas de vino está vinculada estrechamente con sus preferencias, lo que destaca </w:t>
            </w:r>
            <w:r>
              <w:rPr>
                <w:rFonts w:ascii="Times New Roman" w:eastAsia="Times New Roman" w:hAnsi="Times New Roman" w:cs="Times New Roman"/>
                <w:sz w:val="24"/>
                <w:szCs w:val="24"/>
              </w:rPr>
              <w:lastRenderedPageBreak/>
              <w:t xml:space="preserve">la importancia del diseño en la decisión de compra. </w:t>
            </w:r>
          </w:p>
        </w:tc>
      </w:tr>
      <w:tr w:rsidR="006331E1" w14:paraId="391A7322"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3FC6A826"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García et al. (2023)</w:t>
            </w:r>
          </w:p>
        </w:tc>
        <w:tc>
          <w:tcPr>
            <w:tcW w:w="180pt" w:type="dxa"/>
            <w:tcBorders>
              <w:start w:val="nil"/>
              <w:end w:val="nil"/>
            </w:tcBorders>
            <w:shd w:val="clear" w:color="auto" w:fill="auto"/>
            <w:tcMar>
              <w:top w:w="5pt" w:type="dxa"/>
              <w:start w:w="5pt" w:type="dxa"/>
              <w:bottom w:w="5pt" w:type="dxa"/>
              <w:end w:w="5pt" w:type="dxa"/>
            </w:tcMar>
          </w:tcPr>
          <w:p w14:paraId="432D9A0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Investigar cómo la familiaridad con la marca afecta la publicidad en organizaciones sin fines de lucro, analizando su impacto en la atención visual hacia los anuncios y el comportamiento de donación.</w:t>
            </w:r>
          </w:p>
        </w:tc>
        <w:tc>
          <w:tcPr>
            <w:tcW w:w="168.75pt" w:type="dxa"/>
            <w:tcBorders>
              <w:start w:val="nil"/>
              <w:end w:val="nil"/>
            </w:tcBorders>
            <w:shd w:val="clear" w:color="auto" w:fill="auto"/>
            <w:tcMar>
              <w:top w:w="5pt" w:type="dxa"/>
              <w:start w:w="5pt" w:type="dxa"/>
              <w:bottom w:w="5pt" w:type="dxa"/>
              <w:end w:w="5pt" w:type="dxa"/>
            </w:tcMar>
          </w:tcPr>
          <w:p w14:paraId="477A479F"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conclusión, la familiaridad con la marca afecta la atención visual hacia los anuncios en organizaciones sin fines de lucro, pero no necesariamente el comportamiento de donación.</w:t>
            </w:r>
          </w:p>
        </w:tc>
      </w:tr>
      <w:tr w:rsidR="006331E1" w14:paraId="51D9507D"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46BFA70F"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Marko</w:t>
            </w:r>
            <w:proofErr w:type="spellEnd"/>
            <w:r>
              <w:rPr>
                <w:rFonts w:ascii="Times New Roman" w:eastAsia="Times New Roman" w:hAnsi="Times New Roman" w:cs="Times New Roman"/>
                <w:sz w:val="24"/>
                <w:szCs w:val="24"/>
              </w:rPr>
              <w:t xml:space="preserve"> et al. (2023)</w:t>
            </w:r>
          </w:p>
        </w:tc>
        <w:tc>
          <w:tcPr>
            <w:tcW w:w="180pt" w:type="dxa"/>
            <w:tcBorders>
              <w:start w:val="nil"/>
              <w:end w:val="nil"/>
            </w:tcBorders>
            <w:shd w:val="clear" w:color="auto" w:fill="auto"/>
            <w:tcMar>
              <w:top w:w="5pt" w:type="dxa"/>
              <w:start w:w="5pt" w:type="dxa"/>
              <w:bottom w:w="5pt" w:type="dxa"/>
              <w:end w:w="5pt" w:type="dxa"/>
            </w:tcMar>
          </w:tcPr>
          <w:p w14:paraId="4178BDC5"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cómo la muestra de consumidores de las Generaciones Y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Z, tanto informados como desinformados, impacta en la fidelidad hacia la comunicación de marketing de marcas de moda rápida, utilizando neuromarketing.</w:t>
            </w:r>
          </w:p>
        </w:tc>
        <w:tc>
          <w:tcPr>
            <w:tcW w:w="168.75pt" w:type="dxa"/>
            <w:tcBorders>
              <w:start w:val="nil"/>
              <w:end w:val="nil"/>
            </w:tcBorders>
            <w:shd w:val="clear" w:color="auto" w:fill="auto"/>
            <w:tcMar>
              <w:top w:w="5pt" w:type="dxa"/>
              <w:start w:w="5pt" w:type="dxa"/>
              <w:bottom w:w="5pt" w:type="dxa"/>
              <w:end w:w="5pt" w:type="dxa"/>
            </w:tcMar>
          </w:tcPr>
          <w:p w14:paraId="501507CE"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encuestados informados de las generaciones Y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Z son más resistentes emocionalmente a los anuncios engañosos. Esto les permite evaluar críticamente los mensajes y tomar decisiones de compra más racionales</w:t>
            </w:r>
          </w:p>
        </w:tc>
      </w:tr>
      <w:tr w:rsidR="006331E1" w14:paraId="4E7F0609"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18F19F68"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Baldo et al. (2022)</w:t>
            </w:r>
          </w:p>
        </w:tc>
        <w:tc>
          <w:tcPr>
            <w:tcW w:w="180pt" w:type="dxa"/>
            <w:tcBorders>
              <w:start w:val="nil"/>
              <w:end w:val="nil"/>
            </w:tcBorders>
            <w:shd w:val="clear" w:color="auto" w:fill="auto"/>
            <w:tcMar>
              <w:top w:w="5pt" w:type="dxa"/>
              <w:start w:w="5pt" w:type="dxa"/>
              <w:bottom w:w="5pt" w:type="dxa"/>
              <w:end w:w="5pt" w:type="dxa"/>
            </w:tcMar>
          </w:tcPr>
          <w:p w14:paraId="087D240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Medir de manera consistente las respuestas emocionales a estímulos estáticos y dinámicos, y predecir la codificación de la memoria y la efectividad de los anuncios.</w:t>
            </w:r>
          </w:p>
        </w:tc>
        <w:tc>
          <w:tcPr>
            <w:tcW w:w="168.75pt" w:type="dxa"/>
            <w:tcBorders>
              <w:start w:val="nil"/>
              <w:end w:val="nil"/>
            </w:tcBorders>
            <w:shd w:val="clear" w:color="auto" w:fill="auto"/>
            <w:tcMar>
              <w:top w:w="5pt" w:type="dxa"/>
              <w:start w:w="5pt" w:type="dxa"/>
              <w:bottom w:w="5pt" w:type="dxa"/>
              <w:end w:w="5pt" w:type="dxa"/>
            </w:tcMar>
          </w:tcPr>
          <w:p w14:paraId="43DB48A7"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métodos neurofisiológicos como la frecuencia cardíaca, el EEG y la respuesta galvánica de la piel son útiles para predecir resultados psicológicos y de marketing en diversos estímulos. </w:t>
            </w:r>
          </w:p>
        </w:tc>
      </w:tr>
      <w:tr w:rsidR="006331E1" w14:paraId="78FACBBA"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7A17592A"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Martinez</w:t>
            </w:r>
            <w:proofErr w:type="spellEnd"/>
            <w:r>
              <w:rPr>
                <w:rFonts w:ascii="Times New Roman" w:eastAsia="Times New Roman" w:hAnsi="Times New Roman" w:cs="Times New Roman"/>
                <w:sz w:val="24"/>
                <w:szCs w:val="24"/>
              </w:rPr>
              <w:t>-Levy et al. (2021)</w:t>
            </w:r>
          </w:p>
        </w:tc>
        <w:tc>
          <w:tcPr>
            <w:tcW w:w="180pt" w:type="dxa"/>
            <w:tcBorders>
              <w:start w:val="nil"/>
              <w:end w:val="nil"/>
            </w:tcBorders>
            <w:shd w:val="clear" w:color="auto" w:fill="auto"/>
            <w:tcMar>
              <w:top w:w="5pt" w:type="dxa"/>
              <w:start w:w="5pt" w:type="dxa"/>
              <w:bottom w:w="5pt" w:type="dxa"/>
              <w:end w:w="5pt" w:type="dxa"/>
            </w:tcMar>
          </w:tcPr>
          <w:p w14:paraId="6CC48E8D"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Examinar las reacciones cognitivas y emocionales para mejorar la efectividad y medir los beneficios en términos de llamadas de los contribuyentes mediante técnicas </w:t>
            </w:r>
            <w:r>
              <w:rPr>
                <w:rFonts w:ascii="Times New Roman" w:eastAsia="Times New Roman" w:hAnsi="Times New Roman" w:cs="Times New Roman"/>
                <w:sz w:val="24"/>
                <w:szCs w:val="24"/>
              </w:rPr>
              <w:lastRenderedPageBreak/>
              <w:t>de neuromarketing.</w:t>
            </w:r>
          </w:p>
        </w:tc>
        <w:tc>
          <w:tcPr>
            <w:tcW w:w="168.75pt" w:type="dxa"/>
            <w:tcBorders>
              <w:start w:val="nil"/>
              <w:end w:val="nil"/>
            </w:tcBorders>
            <w:shd w:val="clear" w:color="auto" w:fill="auto"/>
            <w:tcMar>
              <w:top w:w="5pt" w:type="dxa"/>
              <w:start w:w="5pt" w:type="dxa"/>
              <w:bottom w:w="5pt" w:type="dxa"/>
              <w:end w:w="5pt" w:type="dxa"/>
            </w:tcMar>
          </w:tcPr>
          <w:p w14:paraId="4B9D9F7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conclusión, el neuromarketing puede ayudar a mejorar la efectividad de la publicidad sin fines de lucro, permitiendo verificar la </w:t>
            </w:r>
            <w:r>
              <w:rPr>
                <w:rFonts w:ascii="Times New Roman" w:eastAsia="Times New Roman" w:hAnsi="Times New Roman" w:cs="Times New Roman"/>
                <w:sz w:val="24"/>
                <w:szCs w:val="24"/>
              </w:rPr>
              <w:lastRenderedPageBreak/>
              <w:t>coherencia entre la estrategia de copia y la percepción cognitiva y emocional.</w:t>
            </w:r>
          </w:p>
        </w:tc>
      </w:tr>
      <w:tr w:rsidR="006331E1" w14:paraId="6D82DA00"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48668D50"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Boscolo</w:t>
            </w:r>
            <w:proofErr w:type="spellEnd"/>
            <w:r>
              <w:rPr>
                <w:rFonts w:ascii="Times New Roman" w:eastAsia="Times New Roman" w:hAnsi="Times New Roman" w:cs="Times New Roman"/>
                <w:sz w:val="24"/>
                <w:szCs w:val="24"/>
              </w:rPr>
              <w:t xml:space="preserve"> et al. (2021)</w:t>
            </w:r>
          </w:p>
        </w:tc>
        <w:tc>
          <w:tcPr>
            <w:tcW w:w="180pt" w:type="dxa"/>
            <w:tcBorders>
              <w:start w:val="nil"/>
              <w:end w:val="nil"/>
            </w:tcBorders>
            <w:shd w:val="clear" w:color="auto" w:fill="auto"/>
            <w:tcMar>
              <w:top w:w="5pt" w:type="dxa"/>
              <w:start w:w="5pt" w:type="dxa"/>
              <w:bottom w:w="5pt" w:type="dxa"/>
              <w:end w:w="5pt" w:type="dxa"/>
            </w:tcMar>
          </w:tcPr>
          <w:p w14:paraId="214821E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Examinar la diferencia entre géneros en la atención visual y las actitudes hacia distintos tipos de publicidad.</w:t>
            </w:r>
          </w:p>
        </w:tc>
        <w:tc>
          <w:tcPr>
            <w:tcW w:w="168.75pt" w:type="dxa"/>
            <w:tcBorders>
              <w:start w:val="nil"/>
              <w:end w:val="nil"/>
            </w:tcBorders>
            <w:shd w:val="clear" w:color="auto" w:fill="auto"/>
            <w:tcMar>
              <w:top w:w="5pt" w:type="dxa"/>
              <w:start w:w="5pt" w:type="dxa"/>
              <w:bottom w:w="5pt" w:type="dxa"/>
              <w:end w:w="5pt" w:type="dxa"/>
            </w:tcMar>
          </w:tcPr>
          <w:p w14:paraId="6748C38D"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en que el tipo de publicidad no es un factor distintivo entre géneros, lo que destaca la importancia de evaluar y mejorar los anuncios para lograr resultados positivos.</w:t>
            </w:r>
          </w:p>
        </w:tc>
      </w:tr>
      <w:tr w:rsidR="006331E1" w14:paraId="333F6AE0"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4FF233C6"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Stefko</w:t>
            </w:r>
            <w:proofErr w:type="spellEnd"/>
            <w:r>
              <w:rPr>
                <w:rFonts w:ascii="Times New Roman" w:eastAsia="Times New Roman" w:hAnsi="Times New Roman" w:cs="Times New Roman"/>
                <w:sz w:val="24"/>
                <w:szCs w:val="24"/>
              </w:rPr>
              <w:t xml:space="preserve"> et al. (2021)</w:t>
            </w:r>
          </w:p>
        </w:tc>
        <w:tc>
          <w:tcPr>
            <w:tcW w:w="180pt" w:type="dxa"/>
            <w:tcBorders>
              <w:start w:val="nil"/>
              <w:end w:val="nil"/>
            </w:tcBorders>
            <w:shd w:val="clear" w:color="auto" w:fill="auto"/>
            <w:tcMar>
              <w:top w:w="5pt" w:type="dxa"/>
              <w:start w:w="5pt" w:type="dxa"/>
              <w:bottom w:w="5pt" w:type="dxa"/>
              <w:end w:w="5pt" w:type="dxa"/>
            </w:tcMar>
          </w:tcPr>
          <w:p w14:paraId="19B923D9"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Encontrar diferencias estadísticamente significativas en la evaluación del comportamiento de compra de los consumidores utilizando técnicas de neuromarketing, dentro del contexto de igualdad de género.</w:t>
            </w:r>
          </w:p>
        </w:tc>
        <w:tc>
          <w:tcPr>
            <w:tcW w:w="168.75pt" w:type="dxa"/>
            <w:tcBorders>
              <w:start w:val="nil"/>
              <w:end w:val="nil"/>
            </w:tcBorders>
            <w:shd w:val="clear" w:color="auto" w:fill="auto"/>
            <w:tcMar>
              <w:top w:w="5pt" w:type="dxa"/>
              <w:start w:w="5pt" w:type="dxa"/>
              <w:bottom w:w="5pt" w:type="dxa"/>
              <w:end w:w="5pt" w:type="dxa"/>
            </w:tcMar>
          </w:tcPr>
          <w:p w14:paraId="6EA10B67"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concluye en que hay diferencias significativas en el comportamiento de compra entre hombres y mujeres, con los hombres sensibles a factores como precio y diseño, y las mujeres influenciadas por el color del producto y redes sociales. </w:t>
            </w:r>
          </w:p>
        </w:tc>
      </w:tr>
      <w:tr w:rsidR="006331E1" w14:paraId="3FE1D743"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22F3E1FA"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Alvino et al. (2019)</w:t>
            </w:r>
          </w:p>
        </w:tc>
        <w:tc>
          <w:tcPr>
            <w:tcW w:w="180pt" w:type="dxa"/>
            <w:tcBorders>
              <w:start w:val="nil"/>
              <w:end w:val="nil"/>
            </w:tcBorders>
            <w:shd w:val="clear" w:color="auto" w:fill="auto"/>
            <w:tcMar>
              <w:top w:w="5pt" w:type="dxa"/>
              <w:start w:w="5pt" w:type="dxa"/>
              <w:bottom w:w="5pt" w:type="dxa"/>
              <w:end w:w="5pt" w:type="dxa"/>
            </w:tcMar>
          </w:tcPr>
          <w:p w14:paraId="0130FC0E"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si la encefalografía (EEG), contribuye para predecir el comportamiento de compra del consumidor y sus preferencias durante el consumo de productos.</w:t>
            </w:r>
          </w:p>
        </w:tc>
        <w:tc>
          <w:tcPr>
            <w:tcW w:w="168.75pt" w:type="dxa"/>
            <w:tcBorders>
              <w:start w:val="nil"/>
              <w:end w:val="nil"/>
            </w:tcBorders>
            <w:shd w:val="clear" w:color="auto" w:fill="auto"/>
            <w:tcMar>
              <w:top w:w="5pt" w:type="dxa"/>
              <w:start w:w="5pt" w:type="dxa"/>
              <w:bottom w:w="5pt" w:type="dxa"/>
              <w:end w:w="5pt" w:type="dxa"/>
            </w:tcMar>
          </w:tcPr>
          <w:p w14:paraId="4F425C75"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en que hay una asociación entre las ondas cerebrales y registradas por (EEG), y las preferencias del consumidor durante la experiencia del producto.</w:t>
            </w:r>
          </w:p>
        </w:tc>
      </w:tr>
      <w:tr w:rsidR="006331E1" w14:paraId="66133879"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560BF3B7"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Andrii</w:t>
            </w:r>
            <w:proofErr w:type="spellEnd"/>
            <w:r>
              <w:rPr>
                <w:rFonts w:ascii="Times New Roman" w:eastAsia="Times New Roman" w:hAnsi="Times New Roman" w:cs="Times New Roman"/>
                <w:sz w:val="24"/>
                <w:szCs w:val="24"/>
              </w:rPr>
              <w:t xml:space="preserve"> et al. (2019)</w:t>
            </w:r>
          </w:p>
        </w:tc>
        <w:tc>
          <w:tcPr>
            <w:tcW w:w="180pt" w:type="dxa"/>
            <w:tcBorders>
              <w:start w:val="nil"/>
              <w:end w:val="nil"/>
            </w:tcBorders>
            <w:shd w:val="clear" w:color="auto" w:fill="auto"/>
            <w:tcMar>
              <w:top w:w="5pt" w:type="dxa"/>
              <w:start w:w="5pt" w:type="dxa"/>
              <w:bottom w:w="5pt" w:type="dxa"/>
              <w:end w:w="5pt" w:type="dxa"/>
            </w:tcMar>
          </w:tcPr>
          <w:p w14:paraId="23918D2C"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Desarrollar un método innovador utilizando datos GSR para evaluar la fatiga en tiendas, determinando </w:t>
            </w:r>
            <w:r>
              <w:rPr>
                <w:rFonts w:ascii="Times New Roman" w:eastAsia="Times New Roman" w:hAnsi="Times New Roman" w:cs="Times New Roman"/>
                <w:sz w:val="24"/>
                <w:szCs w:val="24"/>
              </w:rPr>
              <w:lastRenderedPageBreak/>
              <w:t>su atractivo y la asistencia prevista sin depender de factores humanos en entornos simulados.</w:t>
            </w:r>
          </w:p>
        </w:tc>
        <w:tc>
          <w:tcPr>
            <w:tcW w:w="168.75pt" w:type="dxa"/>
            <w:tcBorders>
              <w:start w:val="nil"/>
              <w:end w:val="nil"/>
            </w:tcBorders>
            <w:shd w:val="clear" w:color="auto" w:fill="auto"/>
            <w:tcMar>
              <w:top w:w="5pt" w:type="dxa"/>
              <w:start w:w="5pt" w:type="dxa"/>
              <w:bottom w:w="5pt" w:type="dxa"/>
              <w:end w:w="5pt" w:type="dxa"/>
            </w:tcMar>
          </w:tcPr>
          <w:p w14:paraId="21E194B9"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concluye en que el tipo de tienda y las condiciones ambientales influyen en la fatiga </w:t>
            </w:r>
            <w:r>
              <w:rPr>
                <w:rFonts w:ascii="Times New Roman" w:eastAsia="Times New Roman" w:hAnsi="Times New Roman" w:cs="Times New Roman"/>
                <w:sz w:val="24"/>
                <w:szCs w:val="24"/>
              </w:rPr>
              <w:lastRenderedPageBreak/>
              <w:t>emocional del consumidor, ampliando la teoría y práctica del neuromarketing y los modelos de elección de tiendas.</w:t>
            </w:r>
          </w:p>
        </w:tc>
      </w:tr>
      <w:tr w:rsidR="006331E1" w14:paraId="354CF4F2"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0A6A6DCD"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Țichindelean</w:t>
            </w:r>
            <w:proofErr w:type="spellEnd"/>
            <w:r>
              <w:rPr>
                <w:rFonts w:ascii="Times New Roman" w:eastAsia="Times New Roman" w:hAnsi="Times New Roman" w:cs="Times New Roman"/>
                <w:sz w:val="24"/>
                <w:szCs w:val="24"/>
              </w:rPr>
              <w:t xml:space="preserve"> et al. (2019)</w:t>
            </w:r>
          </w:p>
        </w:tc>
        <w:tc>
          <w:tcPr>
            <w:tcW w:w="180pt" w:type="dxa"/>
            <w:tcBorders>
              <w:start w:val="nil"/>
              <w:end w:val="nil"/>
            </w:tcBorders>
            <w:shd w:val="clear" w:color="auto" w:fill="auto"/>
            <w:tcMar>
              <w:top w:w="5pt" w:type="dxa"/>
              <w:start w:w="5pt" w:type="dxa"/>
              <w:bottom w:w="5pt" w:type="dxa"/>
              <w:end w:w="5pt" w:type="dxa"/>
            </w:tcMar>
          </w:tcPr>
          <w:p w14:paraId="3002FDE8"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los resultados del rastreador ocular y las respuestas de los sujetos sobre lo que memorizaron después de visitar las páginas web de Banca.</w:t>
            </w:r>
          </w:p>
        </w:tc>
        <w:tc>
          <w:tcPr>
            <w:tcW w:w="168.75pt" w:type="dxa"/>
            <w:tcBorders>
              <w:start w:val="nil"/>
              <w:end w:val="nil"/>
            </w:tcBorders>
            <w:shd w:val="clear" w:color="auto" w:fill="auto"/>
            <w:tcMar>
              <w:top w:w="5pt" w:type="dxa"/>
              <w:start w:w="5pt" w:type="dxa"/>
              <w:bottom w:w="5pt" w:type="dxa"/>
              <w:end w:w="5pt" w:type="dxa"/>
            </w:tcMar>
          </w:tcPr>
          <w:p w14:paraId="7DD37C1A"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concluye en que los elementos visuales </w:t>
            </w:r>
            <w:proofErr w:type="spellStart"/>
            <w:r>
              <w:rPr>
                <w:rFonts w:ascii="Times New Roman" w:eastAsia="Times New Roman" w:hAnsi="Times New Roman" w:cs="Times New Roman"/>
                <w:sz w:val="24"/>
                <w:szCs w:val="24"/>
              </w:rPr>
              <w:t>com</w:t>
            </w:r>
            <w:proofErr w:type="spellEnd"/>
            <w:r>
              <w:rPr>
                <w:rFonts w:ascii="Times New Roman" w:eastAsia="Times New Roman" w:hAnsi="Times New Roman" w:cs="Times New Roman"/>
                <w:sz w:val="24"/>
                <w:szCs w:val="24"/>
              </w:rPr>
              <w:t xml:space="preserve"> imágenes y banners, ayudan y son efectivos en temas de retención de información, asimismo se genera facilidad y satisfacción en el momento de navegación</w:t>
            </w:r>
          </w:p>
        </w:tc>
      </w:tr>
      <w:tr w:rsidR="006331E1" w14:paraId="5810B5BC"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645DB95C"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Giakoni</w:t>
            </w:r>
            <w:proofErr w:type="spellEnd"/>
            <w:r>
              <w:rPr>
                <w:rFonts w:ascii="Times New Roman" w:eastAsia="Times New Roman" w:hAnsi="Times New Roman" w:cs="Times New Roman"/>
                <w:sz w:val="24"/>
                <w:szCs w:val="24"/>
              </w:rPr>
              <w:t xml:space="preserve"> et al. (2022)</w:t>
            </w:r>
          </w:p>
        </w:tc>
        <w:tc>
          <w:tcPr>
            <w:tcW w:w="180pt" w:type="dxa"/>
            <w:tcBorders>
              <w:start w:val="nil"/>
              <w:end w:val="nil"/>
            </w:tcBorders>
            <w:shd w:val="clear" w:color="auto" w:fill="auto"/>
            <w:tcMar>
              <w:top w:w="5pt" w:type="dxa"/>
              <w:start w:w="5pt" w:type="dxa"/>
              <w:bottom w:w="5pt" w:type="dxa"/>
              <w:end w:w="5pt" w:type="dxa"/>
            </w:tcMar>
          </w:tcPr>
          <w:p w14:paraId="7A9CE944"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cómo evaluar la eficacia del patrocinio de deportes electrónicos para una marca</w:t>
            </w:r>
          </w:p>
        </w:tc>
        <w:tc>
          <w:tcPr>
            <w:tcW w:w="168.75pt" w:type="dxa"/>
            <w:tcBorders>
              <w:start w:val="nil"/>
              <w:end w:val="nil"/>
            </w:tcBorders>
            <w:shd w:val="clear" w:color="auto" w:fill="auto"/>
            <w:tcMar>
              <w:top w:w="5pt" w:type="dxa"/>
              <w:start w:w="5pt" w:type="dxa"/>
              <w:bottom w:w="5pt" w:type="dxa"/>
              <w:end w:w="5pt" w:type="dxa"/>
            </w:tcMar>
          </w:tcPr>
          <w:p w14:paraId="70ADD6A7"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estudio desarrolló una metodología para evaluar la efectividad del patrocinio en deportes electrónicos. Destacando que los anuncios en las camisetas de los jugadores y la pantalla de fondo generaron mayor atención e impacto emocional.</w:t>
            </w:r>
          </w:p>
        </w:tc>
      </w:tr>
      <w:tr w:rsidR="006331E1" w14:paraId="00FD216D" w14:textId="77777777" w:rsidTr="00654BC5">
        <w:trPr>
          <w:trHeight w:val="537"/>
          <w:jc w:val="center"/>
        </w:trPr>
        <w:tc>
          <w:tcPr>
            <w:tcW w:w="107.25pt" w:type="dxa"/>
            <w:tcBorders>
              <w:start w:val="nil"/>
              <w:end w:val="nil"/>
            </w:tcBorders>
            <w:shd w:val="clear" w:color="auto" w:fill="auto"/>
            <w:tcMar>
              <w:top w:w="5pt" w:type="dxa"/>
              <w:start w:w="5pt" w:type="dxa"/>
              <w:bottom w:w="5pt" w:type="dxa"/>
              <w:end w:w="5pt" w:type="dxa"/>
            </w:tcMar>
          </w:tcPr>
          <w:p w14:paraId="1418CAE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Ferrer - </w:t>
            </w:r>
            <w:proofErr w:type="spellStart"/>
            <w:r>
              <w:rPr>
                <w:rFonts w:ascii="Times New Roman" w:eastAsia="Times New Roman" w:hAnsi="Times New Roman" w:cs="Times New Roman"/>
                <w:sz w:val="24"/>
                <w:szCs w:val="24"/>
              </w:rPr>
              <w:t>Lopez</w:t>
            </w:r>
            <w:proofErr w:type="spellEnd"/>
            <w:r>
              <w:rPr>
                <w:rFonts w:ascii="Times New Roman" w:eastAsia="Times New Roman" w:hAnsi="Times New Roman" w:cs="Times New Roman"/>
                <w:sz w:val="24"/>
                <w:szCs w:val="24"/>
              </w:rPr>
              <w:t xml:space="preserve"> (2020)</w:t>
            </w:r>
          </w:p>
        </w:tc>
        <w:tc>
          <w:tcPr>
            <w:tcW w:w="180pt" w:type="dxa"/>
            <w:tcBorders>
              <w:start w:val="nil"/>
              <w:end w:val="nil"/>
            </w:tcBorders>
            <w:shd w:val="clear" w:color="auto" w:fill="auto"/>
            <w:tcMar>
              <w:top w:w="5pt" w:type="dxa"/>
              <w:start w:w="5pt" w:type="dxa"/>
              <w:bottom w:w="5pt" w:type="dxa"/>
              <w:end w:w="5pt" w:type="dxa"/>
            </w:tcMar>
          </w:tcPr>
          <w:p w14:paraId="162C14EC"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si  los contenidos publicitarios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resultan más eficaces para llamar la atención del sujeto.</w:t>
            </w:r>
          </w:p>
        </w:tc>
        <w:tc>
          <w:tcPr>
            <w:tcW w:w="168.75pt" w:type="dxa"/>
            <w:tcBorders>
              <w:start w:val="nil"/>
              <w:end w:val="nil"/>
            </w:tcBorders>
            <w:shd w:val="clear" w:color="auto" w:fill="auto"/>
            <w:tcMar>
              <w:top w:w="5pt" w:type="dxa"/>
              <w:start w:w="5pt" w:type="dxa"/>
              <w:bottom w:w="5pt" w:type="dxa"/>
              <w:end w:w="5pt" w:type="dxa"/>
            </w:tcMar>
          </w:tcPr>
          <w:p w14:paraId="342B6CE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revela que el marketing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incrementa la atención y emoción en comparación a otros formatos. </w:t>
            </w:r>
          </w:p>
        </w:tc>
      </w:tr>
      <w:tr w:rsidR="006331E1" w14:paraId="7CB55294"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09F807BA"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Garczareck</w:t>
            </w:r>
            <w:proofErr w:type="spellEnd"/>
            <w:r>
              <w:rPr>
                <w:rFonts w:ascii="Times New Roman" w:eastAsia="Times New Roman" w:hAnsi="Times New Roman" w:cs="Times New Roman"/>
                <w:sz w:val="24"/>
                <w:szCs w:val="24"/>
              </w:rPr>
              <w:t xml:space="preserve"> et al. (2021)</w:t>
            </w:r>
          </w:p>
        </w:tc>
        <w:tc>
          <w:tcPr>
            <w:tcW w:w="180pt" w:type="dxa"/>
            <w:tcBorders>
              <w:start w:val="nil"/>
              <w:end w:val="nil"/>
            </w:tcBorders>
            <w:shd w:val="clear" w:color="auto" w:fill="auto"/>
            <w:tcMar>
              <w:top w:w="5pt" w:type="dxa"/>
              <w:start w:w="5pt" w:type="dxa"/>
              <w:bottom w:w="5pt" w:type="dxa"/>
              <w:end w:w="5pt" w:type="dxa"/>
            </w:tcMar>
          </w:tcPr>
          <w:p w14:paraId="0B4D15BC"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Demostrar las reacción psicofisiológicas y poder predecir </w:t>
            </w:r>
            <w:r>
              <w:rPr>
                <w:rFonts w:ascii="Times New Roman" w:eastAsia="Times New Roman" w:hAnsi="Times New Roman" w:cs="Times New Roman"/>
                <w:sz w:val="24"/>
                <w:szCs w:val="24"/>
              </w:rPr>
              <w:lastRenderedPageBreak/>
              <w:t>las decisiones de compras futuras.</w:t>
            </w:r>
          </w:p>
        </w:tc>
        <w:tc>
          <w:tcPr>
            <w:tcW w:w="168.75pt" w:type="dxa"/>
            <w:tcBorders>
              <w:start w:val="nil"/>
              <w:end w:val="nil"/>
            </w:tcBorders>
            <w:shd w:val="clear" w:color="auto" w:fill="auto"/>
            <w:tcMar>
              <w:top w:w="5pt" w:type="dxa"/>
              <w:start w:w="5pt" w:type="dxa"/>
              <w:bottom w:w="5pt" w:type="dxa"/>
              <w:end w:w="5pt" w:type="dxa"/>
            </w:tcMar>
          </w:tcPr>
          <w:p w14:paraId="27477DE4"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partir de los resultados, se concluyó que la actividad </w:t>
            </w:r>
            <w:proofErr w:type="spellStart"/>
            <w:r>
              <w:rPr>
                <w:rFonts w:ascii="Times New Roman" w:eastAsia="Times New Roman" w:hAnsi="Times New Roman" w:cs="Times New Roman"/>
                <w:sz w:val="24"/>
                <w:szCs w:val="24"/>
              </w:rPr>
              <w:lastRenderedPageBreak/>
              <w:t>electrodérmica</w:t>
            </w:r>
            <w:proofErr w:type="spellEnd"/>
            <w:r>
              <w:rPr>
                <w:rFonts w:ascii="Times New Roman" w:eastAsia="Times New Roman" w:hAnsi="Times New Roman" w:cs="Times New Roman"/>
                <w:sz w:val="24"/>
                <w:szCs w:val="24"/>
              </w:rPr>
              <w:t xml:space="preserve"> (EDA) sirve para anticipar si una marca superará el desempeño de la mayoría de marcas consideradas.</w:t>
            </w:r>
          </w:p>
        </w:tc>
      </w:tr>
      <w:tr w:rsidR="006331E1" w14:paraId="4BBC233F"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532DE98B"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Herrando et al. (2022)</w:t>
            </w:r>
          </w:p>
        </w:tc>
        <w:tc>
          <w:tcPr>
            <w:tcW w:w="180pt" w:type="dxa"/>
            <w:tcBorders>
              <w:start w:val="nil"/>
              <w:end w:val="nil"/>
            </w:tcBorders>
            <w:shd w:val="clear" w:color="auto" w:fill="auto"/>
            <w:tcMar>
              <w:top w:w="5pt" w:type="dxa"/>
              <w:start w:w="5pt" w:type="dxa"/>
              <w:bottom w:w="5pt" w:type="dxa"/>
              <w:end w:w="5pt" w:type="dxa"/>
            </w:tcMar>
          </w:tcPr>
          <w:p w14:paraId="23655FC6"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Busca entender cómo la interactividad influye en la intención de compra.</w:t>
            </w:r>
          </w:p>
        </w:tc>
        <w:tc>
          <w:tcPr>
            <w:tcW w:w="168.75pt" w:type="dxa"/>
            <w:tcBorders>
              <w:start w:val="nil"/>
              <w:end w:val="nil"/>
            </w:tcBorders>
            <w:shd w:val="clear" w:color="auto" w:fill="auto"/>
            <w:tcMar>
              <w:top w:w="5pt" w:type="dxa"/>
              <w:start w:w="5pt" w:type="dxa"/>
              <w:bottom w:w="5pt" w:type="dxa"/>
              <w:end w:w="5pt" w:type="dxa"/>
            </w:tcMar>
          </w:tcPr>
          <w:p w14:paraId="03180673"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que las actividades comerciales interactivas, como las compras en línea, facilitan el estado de flujo y aumentan la intención de compra.</w:t>
            </w:r>
          </w:p>
        </w:tc>
      </w:tr>
      <w:tr w:rsidR="006331E1" w14:paraId="5601A1B7" w14:textId="77777777" w:rsidTr="00654BC5">
        <w:trPr>
          <w:jc w:val="center"/>
        </w:trPr>
        <w:tc>
          <w:tcPr>
            <w:tcW w:w="107.25pt" w:type="dxa"/>
            <w:tcBorders>
              <w:start w:val="nil"/>
              <w:end w:val="nil"/>
            </w:tcBorders>
            <w:shd w:val="clear" w:color="auto" w:fill="auto"/>
            <w:tcMar>
              <w:top w:w="5pt" w:type="dxa"/>
              <w:start w:w="5pt" w:type="dxa"/>
              <w:bottom w:w="5pt" w:type="dxa"/>
              <w:end w:w="5pt" w:type="dxa"/>
            </w:tcMar>
          </w:tcPr>
          <w:p w14:paraId="0BA10DF2"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Fondevilla</w:t>
            </w:r>
            <w:proofErr w:type="spellEnd"/>
            <w:r>
              <w:rPr>
                <w:rFonts w:ascii="Times New Roman" w:eastAsia="Times New Roman" w:hAnsi="Times New Roman" w:cs="Times New Roman"/>
                <w:sz w:val="24"/>
                <w:szCs w:val="24"/>
              </w:rPr>
              <w:t xml:space="preserve"> et al. (2020)</w:t>
            </w:r>
          </w:p>
        </w:tc>
        <w:tc>
          <w:tcPr>
            <w:tcW w:w="180pt" w:type="dxa"/>
            <w:tcBorders>
              <w:start w:val="nil"/>
              <w:end w:val="nil"/>
            </w:tcBorders>
            <w:shd w:val="clear" w:color="auto" w:fill="auto"/>
            <w:tcMar>
              <w:top w:w="5pt" w:type="dxa"/>
              <w:start w:w="5pt" w:type="dxa"/>
              <w:bottom w:w="5pt" w:type="dxa"/>
              <w:end w:w="5pt" w:type="dxa"/>
            </w:tcMar>
          </w:tcPr>
          <w:p w14:paraId="3CA0B02A"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principal de esta investigación es medir las señales psicofisiológicas a un nivel atencional y emocional de los seguidores, así como explorar las diferencias según género.</w:t>
            </w:r>
          </w:p>
        </w:tc>
        <w:tc>
          <w:tcPr>
            <w:tcW w:w="168.75pt" w:type="dxa"/>
            <w:tcBorders>
              <w:start w:val="nil"/>
              <w:end w:val="nil"/>
            </w:tcBorders>
            <w:shd w:val="clear" w:color="auto" w:fill="auto"/>
            <w:tcMar>
              <w:top w:w="5pt" w:type="dxa"/>
              <w:start w:w="5pt" w:type="dxa"/>
              <w:bottom w:w="5pt" w:type="dxa"/>
              <w:end w:w="5pt" w:type="dxa"/>
            </w:tcMar>
          </w:tcPr>
          <w:p w14:paraId="7B931E62"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principales hallazgos fue que los niveles de activación emocional y atencional varían en función a la influencia del </w:t>
            </w: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w:t>
            </w:r>
          </w:p>
        </w:tc>
      </w:tr>
      <w:tr w:rsidR="006331E1" w14:paraId="1023E1F5" w14:textId="77777777" w:rsidTr="00654BC5">
        <w:trPr>
          <w:trHeight w:val="3158"/>
          <w:jc w:val="center"/>
        </w:trPr>
        <w:tc>
          <w:tcPr>
            <w:tcW w:w="107.25pt" w:type="dxa"/>
            <w:tcBorders>
              <w:start w:val="nil"/>
              <w:bottom w:val="single" w:sz="12" w:space="0" w:color="000000"/>
              <w:end w:val="nil"/>
            </w:tcBorders>
            <w:shd w:val="clear" w:color="auto" w:fill="auto"/>
            <w:tcMar>
              <w:top w:w="5pt" w:type="dxa"/>
              <w:start w:w="5pt" w:type="dxa"/>
              <w:bottom w:w="5pt" w:type="dxa"/>
              <w:end w:w="5pt" w:type="dxa"/>
            </w:tcMar>
          </w:tcPr>
          <w:p w14:paraId="17A5DD19" w14:textId="77777777" w:rsidR="006331E1" w:rsidRDefault="006331E1" w:rsidP="00654BC5">
            <w:pPr>
              <w:widowControl w:val="0"/>
              <w:spacing w:line="18pt"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Zahmati</w:t>
            </w:r>
            <w:proofErr w:type="spellEnd"/>
            <w:r>
              <w:rPr>
                <w:rFonts w:ascii="Times New Roman" w:eastAsia="Times New Roman" w:hAnsi="Times New Roman" w:cs="Times New Roman"/>
                <w:sz w:val="24"/>
                <w:szCs w:val="24"/>
              </w:rPr>
              <w:t xml:space="preserve"> et al. (2023)</w:t>
            </w:r>
          </w:p>
        </w:tc>
        <w:tc>
          <w:tcPr>
            <w:tcW w:w="180pt" w:type="dxa"/>
            <w:tcBorders>
              <w:start w:val="nil"/>
              <w:bottom w:val="single" w:sz="12" w:space="0" w:color="000000"/>
              <w:end w:val="nil"/>
            </w:tcBorders>
            <w:shd w:val="clear" w:color="auto" w:fill="auto"/>
            <w:tcMar>
              <w:top w:w="5pt" w:type="dxa"/>
              <w:start w:w="5pt" w:type="dxa"/>
              <w:bottom w:w="5pt" w:type="dxa"/>
              <w:end w:w="5pt" w:type="dxa"/>
            </w:tcMar>
          </w:tcPr>
          <w:p w14:paraId="511FC5F9"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la influencia del género de los patrocinadores en el nivel de atención que se presta a diferentes aspectos de la publicidad. </w:t>
            </w:r>
          </w:p>
        </w:tc>
        <w:tc>
          <w:tcPr>
            <w:tcW w:w="168.75pt" w:type="dxa"/>
            <w:tcBorders>
              <w:start w:val="nil"/>
              <w:bottom w:val="single" w:sz="12" w:space="0" w:color="000000"/>
              <w:end w:val="nil"/>
            </w:tcBorders>
            <w:shd w:val="clear" w:color="auto" w:fill="auto"/>
            <w:tcMar>
              <w:top w:w="5pt" w:type="dxa"/>
              <w:start w:w="5pt" w:type="dxa"/>
              <w:bottom w:w="5pt" w:type="dxa"/>
              <w:end w:w="5pt" w:type="dxa"/>
            </w:tcMar>
          </w:tcPr>
          <w:p w14:paraId="4AFABCA5" w14:textId="77777777" w:rsidR="006331E1" w:rsidRDefault="006331E1" w:rsidP="00654BC5">
            <w:pPr>
              <w:widowControl w:val="0"/>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raíz de los resultados, se concluye que no existe una diferencia significativa en la atención prestada a patrocinadores masculinos y femeninos.</w:t>
            </w:r>
          </w:p>
        </w:tc>
      </w:tr>
    </w:tbl>
    <w:p w14:paraId="4BA02994" w14:textId="77777777" w:rsidR="006331E1" w:rsidRDefault="006331E1" w:rsidP="006331E1">
      <w:pPr>
        <w:spacing w:after="1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76F277A6" w14:textId="77777777" w:rsidR="006331E1" w:rsidRDefault="006331E1" w:rsidP="00931FCC">
      <w:pPr>
        <w:spacing w:after="6pt" w:line="18pt" w:lineRule="auto"/>
        <w:ind w:firstLine="35.45pt"/>
        <w:jc w:val="center"/>
        <w:rPr>
          <w:rFonts w:ascii="Palatino Linotype" w:hAnsi="Palatino Linotype"/>
          <w:b/>
          <w:bCs/>
          <w:color w:val="00B050"/>
        </w:rPr>
      </w:pPr>
    </w:p>
    <w:p w14:paraId="7570B9B5" w14:textId="4EE51BA8" w:rsidR="00302A31" w:rsidRPr="006331E1" w:rsidRDefault="00B50015" w:rsidP="006331E1">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606D5392"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las investigaciones recolectadas en este estudio podemos identificar que el neuromarketing ha revolucionado la forma de comprender el comportamiento del </w:t>
      </w:r>
      <w:r>
        <w:rPr>
          <w:rFonts w:ascii="Times New Roman" w:eastAsia="Times New Roman" w:hAnsi="Times New Roman" w:cs="Times New Roman"/>
          <w:sz w:val="24"/>
          <w:szCs w:val="24"/>
        </w:rPr>
        <w:lastRenderedPageBreak/>
        <w:t>consumidor, al permitir los estudios de los impulsos inconscientes mediante herramientas como la EEG y FMRI. Asimismo, se puede destacar la importancia de comprender a los impulsores subyacentes de las decisiones de compra de las personas, puesto que el 95% de las decisiones ocurren en la mente subconsciente de los consumidores (</w:t>
      </w:r>
      <w:proofErr w:type="spellStart"/>
      <w:r>
        <w:rPr>
          <w:rFonts w:ascii="Times New Roman" w:eastAsia="Times New Roman" w:hAnsi="Times New Roman" w:cs="Times New Roman"/>
          <w:sz w:val="24"/>
          <w:szCs w:val="24"/>
        </w:rPr>
        <w:t>Ledger</w:t>
      </w:r>
      <w:proofErr w:type="spellEnd"/>
      <w:r>
        <w:rPr>
          <w:rFonts w:ascii="Times New Roman" w:eastAsia="Times New Roman" w:hAnsi="Times New Roman" w:cs="Times New Roman"/>
          <w:sz w:val="24"/>
          <w:szCs w:val="24"/>
        </w:rPr>
        <w:t xml:space="preserve">, 2020). La neurociencia del consumidor sirve para brindar una explicación científica acerca de las preferencias y comportamientos que tiene el consumidor, de esta manera se evidencia la importancia de los estímulos de marketing en la toma de decisiones. Además, según </w:t>
      </w:r>
      <w:proofErr w:type="spellStart"/>
      <w:r>
        <w:rPr>
          <w:rFonts w:ascii="Times New Roman" w:eastAsia="Times New Roman" w:hAnsi="Times New Roman" w:cs="Times New Roman"/>
          <w:sz w:val="24"/>
          <w:szCs w:val="24"/>
        </w:rPr>
        <w:t>Bercik</w:t>
      </w:r>
      <w:proofErr w:type="spellEnd"/>
      <w:r>
        <w:rPr>
          <w:rFonts w:ascii="Times New Roman" w:eastAsia="Times New Roman" w:hAnsi="Times New Roman" w:cs="Times New Roman"/>
          <w:sz w:val="24"/>
          <w:szCs w:val="24"/>
        </w:rPr>
        <w:t xml:space="preserve"> (2021) se resalta la necesidad de superar las limitaciones en los métodos comunes o tradicionales para captar la retroalimentación inconsciente de los consumidores.</w:t>
      </w:r>
    </w:p>
    <w:p w14:paraId="5D2C01CC"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según las investigaciones recolectadas los estudios del neuromarketing utilizan herramientas para predecir cómo se comportan las personas en las compras de una forma más precisa que los métodos tradicionales. En este se enfatiza la importancia de adoptar tecnologías que sean contemporáneas con la finalidad de mejorar las ventajas competitivas en el marketing (</w:t>
      </w:r>
      <w:proofErr w:type="spellStart"/>
      <w:r>
        <w:rPr>
          <w:rFonts w:ascii="Times New Roman" w:eastAsia="Times New Roman" w:hAnsi="Times New Roman" w:cs="Times New Roman"/>
          <w:sz w:val="24"/>
          <w:szCs w:val="24"/>
        </w:rPr>
        <w:t>Mugoni</w:t>
      </w:r>
      <w:proofErr w:type="spellEnd"/>
      <w:r>
        <w:rPr>
          <w:rFonts w:ascii="Times New Roman" w:eastAsia="Times New Roman" w:hAnsi="Times New Roman" w:cs="Times New Roman"/>
          <w:sz w:val="24"/>
          <w:szCs w:val="24"/>
        </w:rPr>
        <w:t>, 2023). Además, la combinación de mediciones biométricas y cerebrales en base a la respuesta de los estímulos del marketing permiten tener una mejor compresión y más profunda de cómo es que el cerebro funciona y procesa la información y toma de decisiones de las personas en sus hábitos y patrones de consumo, esto es crucial para las diversas empresas (</w:t>
      </w:r>
      <w:proofErr w:type="spellStart"/>
      <w:r>
        <w:rPr>
          <w:rFonts w:ascii="Times New Roman" w:eastAsia="Times New Roman" w:hAnsi="Times New Roman" w:cs="Times New Roman"/>
          <w:sz w:val="24"/>
          <w:szCs w:val="24"/>
        </w:rPr>
        <w:t>Horska</w:t>
      </w:r>
      <w:proofErr w:type="spellEnd"/>
      <w:r>
        <w:rPr>
          <w:rFonts w:ascii="Times New Roman" w:eastAsia="Times New Roman" w:hAnsi="Times New Roman" w:cs="Times New Roman"/>
          <w:sz w:val="24"/>
          <w:szCs w:val="24"/>
        </w:rPr>
        <w:t>, 2017).</w:t>
      </w:r>
    </w:p>
    <w:p w14:paraId="7C4DCF50" w14:textId="2173A01C"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cabe agregar que los hallazgos acerca de las investigaciones del neuromarketing en base a los artículos de investigación han demostrado que las emociones impulsan el comportamiento de compra y la toma de decisiones que tienen los consumidores, por lo cual se destaca la importancia que sirve para establecer conexiones emocionales mediante los sentidos y las estrategias del marketing (Alvina, 2020). Además, </w:t>
      </w:r>
      <w:proofErr w:type="spellStart"/>
      <w:r>
        <w:rPr>
          <w:rFonts w:ascii="Times New Roman" w:eastAsia="Times New Roman" w:hAnsi="Times New Roman" w:cs="Times New Roman"/>
          <w:sz w:val="24"/>
          <w:szCs w:val="24"/>
        </w:rPr>
        <w:t>Jimenez</w:t>
      </w:r>
      <w:proofErr w:type="spellEnd"/>
      <w:r>
        <w:rPr>
          <w:rFonts w:ascii="Times New Roman" w:eastAsia="Times New Roman" w:hAnsi="Times New Roman" w:cs="Times New Roman"/>
          <w:sz w:val="24"/>
          <w:szCs w:val="24"/>
        </w:rPr>
        <w:t xml:space="preserve"> Delgado (2020), nos dice que la neurociencia del consumidor proporciona una valiosa herramienta para poder descubrir las medidas implícitas del comportamiento de los consumidores. </w:t>
      </w:r>
    </w:p>
    <w:p w14:paraId="501738F5" w14:textId="77777777" w:rsidR="006331E1" w:rsidRDefault="006331E1" w:rsidP="006331E1">
      <w:pPr>
        <w:spacing w:after="1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resumen, el neuromarketing y la neurociencia acerca del consumidor ofrecen una perspectiva única que permite comprender y poder predecir cómo será el comportamiento del consumidor, destacándose así la importancia de las emociones, los estímulos del </w:t>
      </w:r>
      <w:r>
        <w:rPr>
          <w:rFonts w:ascii="Times New Roman" w:eastAsia="Times New Roman" w:hAnsi="Times New Roman" w:cs="Times New Roman"/>
          <w:sz w:val="24"/>
          <w:szCs w:val="24"/>
        </w:rPr>
        <w:lastRenderedPageBreak/>
        <w:t>marketing y la necesidad de los métodos de investigación más avanzados que hay ahora para poder captar la retroalimentación inconsciente de los consumidores.</w:t>
      </w:r>
    </w:p>
    <w:p w14:paraId="5809FF23" w14:textId="530A8B01" w:rsidR="00C139A9" w:rsidRPr="006331E1" w:rsidRDefault="006331E1" w:rsidP="006331E1">
      <w:pPr>
        <w:spacing w:after="12pt" w:line="18pt" w:lineRule="auto"/>
        <w:jc w:val="both"/>
        <w:rPr>
          <w:rFonts w:ascii="Times New Roman" w:eastAsia="Times New Roman" w:hAnsi="Times New Roman" w:cs="Times New Roman"/>
          <w:b/>
          <w:color w:val="0D0D0D"/>
          <w:sz w:val="24"/>
          <w:szCs w:val="24"/>
          <w:highlight w:val="white"/>
        </w:rPr>
      </w:pPr>
      <w:r>
        <w:br w:type="page"/>
      </w:r>
    </w:p>
    <w:p w14:paraId="0080936C" w14:textId="77777777" w:rsidR="00E023C8" w:rsidRPr="00BA267D" w:rsidRDefault="00E023C8" w:rsidP="00CC0AD9">
      <w:pPr>
        <w:spacing w:after="6pt"/>
        <w:jc w:val="both"/>
        <w:rPr>
          <w:rFonts w:ascii="Book Antiqua" w:hAnsi="Book Antiqua" w:cs="Times New Roman"/>
        </w:rPr>
      </w:pPr>
    </w:p>
    <w:p w14:paraId="72EF51F9" w14:textId="33DA4324" w:rsidR="008966A8" w:rsidRPr="00A453BA" w:rsidRDefault="008966A8" w:rsidP="00CC0AD9">
      <w:pPr>
        <w:spacing w:after="6pt" w:line="18pt" w:lineRule="auto"/>
        <w:ind w:firstLine="35.45pt"/>
        <w:jc w:val="center"/>
        <w:rPr>
          <w:rFonts w:ascii="Palatino Linotype" w:hAnsi="Palatino Linotype"/>
          <w:b/>
          <w:bCs/>
          <w:color w:val="00B050"/>
          <w:lang w:val="en-US"/>
        </w:rPr>
      </w:pPr>
      <w:r w:rsidRPr="00A453BA">
        <w:rPr>
          <w:rFonts w:ascii="Palatino Linotype" w:hAnsi="Palatino Linotype"/>
          <w:b/>
          <w:bCs/>
          <w:color w:val="00B050"/>
          <w:lang w:val="en-US"/>
        </w:rPr>
        <w:t>REFER</w:t>
      </w:r>
      <w:r w:rsidR="00682EB1" w:rsidRPr="00A453BA">
        <w:rPr>
          <w:rFonts w:ascii="Palatino Linotype" w:hAnsi="Palatino Linotype"/>
          <w:b/>
          <w:bCs/>
          <w:color w:val="00B050"/>
          <w:lang w:val="en-US"/>
        </w:rPr>
        <w:t>E</w:t>
      </w:r>
      <w:r w:rsidRPr="00A453BA">
        <w:rPr>
          <w:rFonts w:ascii="Palatino Linotype" w:hAnsi="Palatino Linotype"/>
          <w:b/>
          <w:bCs/>
          <w:color w:val="00B050"/>
          <w:lang w:val="en-US"/>
        </w:rPr>
        <w:t>NCIAS BIBLIOGRÁFICAS</w:t>
      </w:r>
    </w:p>
    <w:p w14:paraId="223CE6F9"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r>
        <w:rPr>
          <w:rFonts w:ascii="Times New Roman" w:eastAsia="Times New Roman" w:hAnsi="Times New Roman" w:cs="Times New Roman"/>
          <w:color w:val="222222"/>
          <w:sz w:val="24"/>
          <w:szCs w:val="24"/>
          <w:highlight w:val="white"/>
        </w:rPr>
        <w:t xml:space="preserve">Alvino, L., Van Der </w:t>
      </w:r>
      <w:proofErr w:type="spellStart"/>
      <w:r>
        <w:rPr>
          <w:rFonts w:ascii="Times New Roman" w:eastAsia="Times New Roman" w:hAnsi="Times New Roman" w:cs="Times New Roman"/>
          <w:color w:val="222222"/>
          <w:sz w:val="24"/>
          <w:szCs w:val="24"/>
          <w:highlight w:val="white"/>
        </w:rPr>
        <w:t>Lubbe</w:t>
      </w:r>
      <w:proofErr w:type="spellEnd"/>
      <w:r>
        <w:rPr>
          <w:rFonts w:ascii="Times New Roman" w:eastAsia="Times New Roman" w:hAnsi="Times New Roman" w:cs="Times New Roman"/>
          <w:color w:val="222222"/>
          <w:sz w:val="24"/>
          <w:szCs w:val="24"/>
          <w:highlight w:val="white"/>
        </w:rPr>
        <w:t xml:space="preserve">, R., </w:t>
      </w:r>
      <w:proofErr w:type="spellStart"/>
      <w:r>
        <w:rPr>
          <w:rFonts w:ascii="Times New Roman" w:eastAsia="Times New Roman" w:hAnsi="Times New Roman" w:cs="Times New Roman"/>
          <w:color w:val="222222"/>
          <w:sz w:val="24"/>
          <w:szCs w:val="24"/>
          <w:highlight w:val="white"/>
        </w:rPr>
        <w:t>Joosten</w:t>
      </w:r>
      <w:proofErr w:type="spellEnd"/>
      <w:r>
        <w:rPr>
          <w:rFonts w:ascii="Times New Roman" w:eastAsia="Times New Roman" w:hAnsi="Times New Roman" w:cs="Times New Roman"/>
          <w:color w:val="222222"/>
          <w:sz w:val="24"/>
          <w:szCs w:val="24"/>
          <w:highlight w:val="white"/>
        </w:rPr>
        <w:t xml:space="preserve">, R. A., &amp; </w:t>
      </w:r>
      <w:proofErr w:type="spellStart"/>
      <w:r>
        <w:rPr>
          <w:rFonts w:ascii="Times New Roman" w:eastAsia="Times New Roman" w:hAnsi="Times New Roman" w:cs="Times New Roman"/>
          <w:color w:val="222222"/>
          <w:sz w:val="24"/>
          <w:szCs w:val="24"/>
          <w:highlight w:val="white"/>
        </w:rPr>
        <w:t>Constantinides</w:t>
      </w:r>
      <w:proofErr w:type="spellEnd"/>
      <w:r>
        <w:rPr>
          <w:rFonts w:ascii="Times New Roman" w:eastAsia="Times New Roman" w:hAnsi="Times New Roman" w:cs="Times New Roman"/>
          <w:color w:val="222222"/>
          <w:sz w:val="24"/>
          <w:szCs w:val="24"/>
          <w:highlight w:val="white"/>
        </w:rPr>
        <w:t xml:space="preserve">, E. (2019). </w:t>
      </w:r>
      <w:r w:rsidRPr="00093EB6">
        <w:rPr>
          <w:rFonts w:ascii="Times New Roman" w:eastAsia="Times New Roman" w:hAnsi="Times New Roman" w:cs="Times New Roman"/>
          <w:color w:val="222222"/>
          <w:sz w:val="24"/>
          <w:szCs w:val="24"/>
          <w:highlight w:val="white"/>
          <w:lang w:val="en-US"/>
        </w:rPr>
        <w:t xml:space="preserve">Which wine do you prefer? An analysis on consumer </w:t>
      </w:r>
      <w:proofErr w:type="spellStart"/>
      <w:r w:rsidRPr="00093EB6">
        <w:rPr>
          <w:rFonts w:ascii="Times New Roman" w:eastAsia="Times New Roman" w:hAnsi="Times New Roman" w:cs="Times New Roman"/>
          <w:color w:val="222222"/>
          <w:sz w:val="24"/>
          <w:szCs w:val="24"/>
          <w:highlight w:val="white"/>
          <w:lang w:val="en-US"/>
        </w:rPr>
        <w:t>behaviour</w:t>
      </w:r>
      <w:proofErr w:type="spellEnd"/>
      <w:r w:rsidRPr="00093EB6">
        <w:rPr>
          <w:rFonts w:ascii="Times New Roman" w:eastAsia="Times New Roman" w:hAnsi="Times New Roman" w:cs="Times New Roman"/>
          <w:color w:val="222222"/>
          <w:sz w:val="24"/>
          <w:szCs w:val="24"/>
          <w:highlight w:val="white"/>
          <w:lang w:val="en-US"/>
        </w:rPr>
        <w:t xml:space="preserve"> and brain activity during a wine tasting experience. </w:t>
      </w:r>
      <w:r w:rsidRPr="00093EB6">
        <w:rPr>
          <w:rFonts w:ascii="Times New Roman" w:eastAsia="Times New Roman" w:hAnsi="Times New Roman" w:cs="Times New Roman"/>
          <w:i/>
          <w:color w:val="222222"/>
          <w:sz w:val="24"/>
          <w:szCs w:val="24"/>
          <w:highlight w:val="white"/>
          <w:lang w:val="en-US"/>
        </w:rPr>
        <w:t>Asia Pacific Journal Of Marketing And Logistics</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32</w:t>
      </w:r>
      <w:r w:rsidRPr="00093EB6">
        <w:rPr>
          <w:rFonts w:ascii="Times New Roman" w:eastAsia="Times New Roman" w:hAnsi="Times New Roman" w:cs="Times New Roman"/>
          <w:color w:val="222222"/>
          <w:sz w:val="24"/>
          <w:szCs w:val="24"/>
          <w:highlight w:val="white"/>
          <w:lang w:val="en-US"/>
        </w:rPr>
        <w:t xml:space="preserve">(5), 1149-1170. </w:t>
      </w:r>
      <w:hyperlink r:id="rId25">
        <w:r w:rsidRPr="00093EB6">
          <w:rPr>
            <w:rFonts w:ascii="Times New Roman" w:eastAsia="Times New Roman" w:hAnsi="Times New Roman" w:cs="Times New Roman"/>
            <w:color w:val="1155CC"/>
            <w:sz w:val="24"/>
            <w:szCs w:val="24"/>
            <w:highlight w:val="white"/>
            <w:u w:val="single"/>
            <w:lang w:val="en-US"/>
          </w:rPr>
          <w:t>https://doi.org/10.1108/apjml-04-2019-0240</w:t>
        </w:r>
      </w:hyperlink>
    </w:p>
    <w:p w14:paraId="15759A2E"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proofErr w:type="spellStart"/>
      <w:r w:rsidRPr="00093EB6">
        <w:rPr>
          <w:rFonts w:ascii="Times New Roman" w:eastAsia="Times New Roman" w:hAnsi="Times New Roman" w:cs="Times New Roman"/>
          <w:color w:val="222222"/>
          <w:sz w:val="24"/>
          <w:szCs w:val="24"/>
          <w:highlight w:val="white"/>
          <w:lang w:val="pt-BR"/>
        </w:rPr>
        <w:t>Andrii</w:t>
      </w:r>
      <w:proofErr w:type="spellEnd"/>
      <w:r w:rsidRPr="00093EB6">
        <w:rPr>
          <w:rFonts w:ascii="Times New Roman" w:eastAsia="Times New Roman" w:hAnsi="Times New Roman" w:cs="Times New Roman"/>
          <w:color w:val="222222"/>
          <w:sz w:val="24"/>
          <w:szCs w:val="24"/>
          <w:highlight w:val="white"/>
          <w:lang w:val="pt-BR"/>
        </w:rPr>
        <w:t xml:space="preserve">, G., Popova, Y., </w:t>
      </w:r>
      <w:proofErr w:type="spellStart"/>
      <w:r w:rsidRPr="00093EB6">
        <w:rPr>
          <w:rFonts w:ascii="Times New Roman" w:eastAsia="Times New Roman" w:hAnsi="Times New Roman" w:cs="Times New Roman"/>
          <w:color w:val="222222"/>
          <w:sz w:val="24"/>
          <w:szCs w:val="24"/>
          <w:highlight w:val="white"/>
          <w:lang w:val="pt-BR"/>
        </w:rPr>
        <w:t>Bodnaruk</w:t>
      </w:r>
      <w:proofErr w:type="spellEnd"/>
      <w:r w:rsidRPr="00093EB6">
        <w:rPr>
          <w:rFonts w:ascii="Times New Roman" w:eastAsia="Times New Roman" w:hAnsi="Times New Roman" w:cs="Times New Roman"/>
          <w:color w:val="222222"/>
          <w:sz w:val="24"/>
          <w:szCs w:val="24"/>
          <w:highlight w:val="white"/>
          <w:lang w:val="pt-BR"/>
        </w:rPr>
        <w:t xml:space="preserve">, O., </w:t>
      </w:r>
      <w:proofErr w:type="spellStart"/>
      <w:r w:rsidRPr="00093EB6">
        <w:rPr>
          <w:rFonts w:ascii="Times New Roman" w:eastAsia="Times New Roman" w:hAnsi="Times New Roman" w:cs="Times New Roman"/>
          <w:color w:val="222222"/>
          <w:sz w:val="24"/>
          <w:szCs w:val="24"/>
          <w:highlight w:val="white"/>
          <w:lang w:val="pt-BR"/>
        </w:rPr>
        <w:t>Zaika</w:t>
      </w:r>
      <w:proofErr w:type="spellEnd"/>
      <w:r w:rsidRPr="00093EB6">
        <w:rPr>
          <w:rFonts w:ascii="Times New Roman" w:eastAsia="Times New Roman" w:hAnsi="Times New Roman" w:cs="Times New Roman"/>
          <w:color w:val="222222"/>
          <w:sz w:val="24"/>
          <w:szCs w:val="24"/>
          <w:highlight w:val="white"/>
          <w:lang w:val="pt-BR"/>
        </w:rPr>
        <w:t xml:space="preserve">, Y., </w:t>
      </w:r>
      <w:proofErr w:type="spellStart"/>
      <w:r w:rsidRPr="00093EB6">
        <w:rPr>
          <w:rFonts w:ascii="Times New Roman" w:eastAsia="Times New Roman" w:hAnsi="Times New Roman" w:cs="Times New Roman"/>
          <w:color w:val="222222"/>
          <w:sz w:val="24"/>
          <w:szCs w:val="24"/>
          <w:highlight w:val="white"/>
          <w:lang w:val="pt-BR"/>
        </w:rPr>
        <w:t>Chuprina</w:t>
      </w:r>
      <w:proofErr w:type="spellEnd"/>
      <w:r w:rsidRPr="00093EB6">
        <w:rPr>
          <w:rFonts w:ascii="Times New Roman" w:eastAsia="Times New Roman" w:hAnsi="Times New Roman" w:cs="Times New Roman"/>
          <w:color w:val="222222"/>
          <w:sz w:val="24"/>
          <w:szCs w:val="24"/>
          <w:highlight w:val="white"/>
          <w:lang w:val="pt-BR"/>
        </w:rPr>
        <w:t xml:space="preserve">, E., Denys, S., &amp; Oleg, K. (2019). </w:t>
      </w:r>
      <w:r w:rsidRPr="00093EB6">
        <w:rPr>
          <w:rFonts w:ascii="Times New Roman" w:eastAsia="Times New Roman" w:hAnsi="Times New Roman" w:cs="Times New Roman"/>
          <w:color w:val="222222"/>
          <w:sz w:val="24"/>
          <w:szCs w:val="24"/>
          <w:highlight w:val="white"/>
          <w:lang w:val="en-US"/>
        </w:rPr>
        <w:t xml:space="preserve">Attractiveness Modeling of Retail on Emotional Fatigue of Consumers. </w:t>
      </w:r>
      <w:r w:rsidRPr="00093EB6">
        <w:rPr>
          <w:rFonts w:ascii="Times New Roman" w:eastAsia="Times New Roman" w:hAnsi="Times New Roman" w:cs="Times New Roman"/>
          <w:i/>
          <w:color w:val="222222"/>
          <w:sz w:val="24"/>
          <w:szCs w:val="24"/>
          <w:highlight w:val="white"/>
          <w:lang w:val="en-US"/>
        </w:rPr>
        <w:t>South East European Journal Of Economics And Business</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14</w:t>
      </w:r>
      <w:r w:rsidRPr="00093EB6">
        <w:rPr>
          <w:rFonts w:ascii="Times New Roman" w:eastAsia="Times New Roman" w:hAnsi="Times New Roman" w:cs="Times New Roman"/>
          <w:color w:val="222222"/>
          <w:sz w:val="24"/>
          <w:szCs w:val="24"/>
          <w:highlight w:val="white"/>
          <w:lang w:val="en-US"/>
        </w:rPr>
        <w:t xml:space="preserve">(2), 106-116. </w:t>
      </w:r>
      <w:hyperlink r:id="rId26">
        <w:r w:rsidRPr="00093EB6">
          <w:rPr>
            <w:rFonts w:ascii="Times New Roman" w:eastAsia="Times New Roman" w:hAnsi="Times New Roman" w:cs="Times New Roman"/>
            <w:color w:val="1155CC"/>
            <w:sz w:val="24"/>
            <w:szCs w:val="24"/>
            <w:highlight w:val="white"/>
            <w:u w:val="single"/>
            <w:lang w:val="en-US"/>
          </w:rPr>
          <w:t>https://doi.org/10.2478/jeb-2019-0017</w:t>
        </w:r>
      </w:hyperlink>
    </w:p>
    <w:p w14:paraId="5BA88145"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r w:rsidRPr="00093EB6">
        <w:rPr>
          <w:rFonts w:ascii="Times New Roman" w:eastAsia="Times New Roman" w:hAnsi="Times New Roman" w:cs="Times New Roman"/>
          <w:color w:val="222222"/>
          <w:sz w:val="24"/>
          <w:szCs w:val="24"/>
          <w:highlight w:val="white"/>
          <w:lang w:val="en-US"/>
        </w:rPr>
        <w:t xml:space="preserve">Baldo, D., Viswanathan, V. S., Timpone, R. J., &amp; Venkatraman, V. (2022). The heart, brain, and body of marketing: Complementary roles of neurophysiological measures in tracking emotions, memory, and ad effectiveness. </w:t>
      </w:r>
      <w:r w:rsidRPr="00093EB6">
        <w:rPr>
          <w:rFonts w:ascii="Times New Roman" w:eastAsia="Times New Roman" w:hAnsi="Times New Roman" w:cs="Times New Roman"/>
          <w:i/>
          <w:color w:val="222222"/>
          <w:sz w:val="24"/>
          <w:szCs w:val="24"/>
          <w:highlight w:val="white"/>
          <w:lang w:val="en-US"/>
        </w:rPr>
        <w:t>Psychology &amp; Marketing</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39</w:t>
      </w:r>
      <w:r w:rsidRPr="00093EB6">
        <w:rPr>
          <w:rFonts w:ascii="Times New Roman" w:eastAsia="Times New Roman" w:hAnsi="Times New Roman" w:cs="Times New Roman"/>
          <w:color w:val="222222"/>
          <w:sz w:val="24"/>
          <w:szCs w:val="24"/>
          <w:highlight w:val="white"/>
          <w:lang w:val="en-US"/>
        </w:rPr>
        <w:t xml:space="preserve">(10), 1979-1991. </w:t>
      </w:r>
      <w:hyperlink r:id="rId27">
        <w:r w:rsidRPr="00093EB6">
          <w:rPr>
            <w:rFonts w:ascii="Times New Roman" w:eastAsia="Times New Roman" w:hAnsi="Times New Roman" w:cs="Times New Roman"/>
            <w:color w:val="1155CC"/>
            <w:sz w:val="24"/>
            <w:szCs w:val="24"/>
            <w:highlight w:val="white"/>
            <w:u w:val="single"/>
            <w:lang w:val="en-US"/>
          </w:rPr>
          <w:t>https://doi.org/10.1002/mar.21697</w:t>
        </w:r>
      </w:hyperlink>
      <w:r w:rsidRPr="00093EB6">
        <w:rPr>
          <w:rFonts w:ascii="Times New Roman" w:eastAsia="Times New Roman" w:hAnsi="Times New Roman" w:cs="Times New Roman"/>
          <w:color w:val="222222"/>
          <w:sz w:val="24"/>
          <w:szCs w:val="24"/>
          <w:highlight w:val="white"/>
          <w:lang w:val="en-US"/>
        </w:rPr>
        <w:t xml:space="preserve"> </w:t>
      </w:r>
    </w:p>
    <w:p w14:paraId="6A74147F"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hyperlink r:id="rId28">
        <w:r w:rsidRPr="00093EB6">
          <w:rPr>
            <w:rFonts w:ascii="Times New Roman" w:eastAsia="Times New Roman" w:hAnsi="Times New Roman" w:cs="Times New Roman"/>
            <w:sz w:val="24"/>
            <w:szCs w:val="24"/>
            <w:highlight w:val="white"/>
            <w:lang w:val="en-US"/>
          </w:rPr>
          <w:t xml:space="preserve">Barbierato, E., Berti, D., Ranfagni, S., Hernández-Álvarez, L. and Bernetti, I. (2023), "Wine label design proposals: an eye-tracking study to analyze consumers’ visual attention and preferences", International Journal of Wine Business Research, Vol. 35 No. 3, pp. 365-389. </w:t>
        </w:r>
      </w:hyperlink>
      <w:hyperlink r:id="rId29">
        <w:r w:rsidRPr="00093EB6">
          <w:rPr>
            <w:rFonts w:ascii="Times New Roman" w:eastAsia="Times New Roman" w:hAnsi="Times New Roman" w:cs="Times New Roman"/>
            <w:color w:val="1155CC"/>
            <w:sz w:val="24"/>
            <w:szCs w:val="24"/>
            <w:highlight w:val="white"/>
            <w:u w:val="single"/>
            <w:lang w:val="en-US"/>
          </w:rPr>
          <w:t>https://doi.upc.elogim.com/10.1108/IJWBR-06-2022-0021</w:t>
        </w:r>
      </w:hyperlink>
    </w:p>
    <w:p w14:paraId="02434394"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proofErr w:type="spellStart"/>
      <w:r w:rsidRPr="00093EB6">
        <w:rPr>
          <w:rFonts w:ascii="Times New Roman" w:eastAsia="Times New Roman" w:hAnsi="Times New Roman" w:cs="Times New Roman"/>
          <w:color w:val="222222"/>
          <w:sz w:val="24"/>
          <w:szCs w:val="24"/>
          <w:highlight w:val="white"/>
          <w:lang w:val="en-US"/>
        </w:rPr>
        <w:t>Berčík</w:t>
      </w:r>
      <w:proofErr w:type="spellEnd"/>
      <w:r w:rsidRPr="00093EB6">
        <w:rPr>
          <w:rFonts w:ascii="Times New Roman" w:eastAsia="Times New Roman" w:hAnsi="Times New Roman" w:cs="Times New Roman"/>
          <w:color w:val="222222"/>
          <w:sz w:val="24"/>
          <w:szCs w:val="24"/>
          <w:highlight w:val="white"/>
          <w:lang w:val="en-US"/>
        </w:rPr>
        <w:t xml:space="preserve">, J., </w:t>
      </w:r>
      <w:proofErr w:type="spellStart"/>
      <w:r w:rsidRPr="00093EB6">
        <w:rPr>
          <w:rFonts w:ascii="Times New Roman" w:eastAsia="Times New Roman" w:hAnsi="Times New Roman" w:cs="Times New Roman"/>
          <w:color w:val="222222"/>
          <w:sz w:val="24"/>
          <w:szCs w:val="24"/>
          <w:highlight w:val="white"/>
          <w:lang w:val="en-US"/>
        </w:rPr>
        <w:t>Mravcová</w:t>
      </w:r>
      <w:proofErr w:type="spellEnd"/>
      <w:r w:rsidRPr="00093EB6">
        <w:rPr>
          <w:rFonts w:ascii="Times New Roman" w:eastAsia="Times New Roman" w:hAnsi="Times New Roman" w:cs="Times New Roman"/>
          <w:color w:val="222222"/>
          <w:sz w:val="24"/>
          <w:szCs w:val="24"/>
          <w:highlight w:val="white"/>
          <w:lang w:val="en-US"/>
        </w:rPr>
        <w:t xml:space="preserve">, A., Nadal, E. S., Lluch, D. B. L., &amp; Farkaš, A. (2024). </w:t>
      </w:r>
      <w:proofErr w:type="spellStart"/>
      <w:r w:rsidRPr="00093EB6">
        <w:rPr>
          <w:rFonts w:ascii="Times New Roman" w:eastAsia="Times New Roman" w:hAnsi="Times New Roman" w:cs="Times New Roman"/>
          <w:color w:val="222222"/>
          <w:sz w:val="24"/>
          <w:szCs w:val="24"/>
          <w:highlight w:val="white"/>
          <w:lang w:val="en-US"/>
        </w:rPr>
        <w:t>FaceReader</w:t>
      </w:r>
      <w:proofErr w:type="spellEnd"/>
      <w:r w:rsidRPr="00093EB6">
        <w:rPr>
          <w:rFonts w:ascii="Times New Roman" w:eastAsia="Times New Roman" w:hAnsi="Times New Roman" w:cs="Times New Roman"/>
          <w:color w:val="222222"/>
          <w:sz w:val="24"/>
          <w:szCs w:val="24"/>
          <w:highlight w:val="white"/>
          <w:lang w:val="en-US"/>
        </w:rPr>
        <w:t xml:space="preserve"> as a neuromarketing tool to compare the olfactory preferences of customers in selected markets. </w:t>
      </w:r>
      <w:r w:rsidRPr="00093EB6">
        <w:rPr>
          <w:rFonts w:ascii="Times New Roman" w:eastAsia="Times New Roman" w:hAnsi="Times New Roman" w:cs="Times New Roman"/>
          <w:i/>
          <w:color w:val="222222"/>
          <w:sz w:val="24"/>
          <w:szCs w:val="24"/>
          <w:highlight w:val="white"/>
          <w:lang w:val="en-US"/>
        </w:rPr>
        <w:t>Spanish Journal Of marketing-ESIC</w:t>
      </w:r>
      <w:r w:rsidRPr="00093EB6">
        <w:rPr>
          <w:rFonts w:ascii="Times New Roman" w:eastAsia="Times New Roman" w:hAnsi="Times New Roman" w:cs="Times New Roman"/>
          <w:color w:val="222222"/>
          <w:sz w:val="24"/>
          <w:szCs w:val="24"/>
          <w:highlight w:val="white"/>
          <w:lang w:val="en-US"/>
        </w:rPr>
        <w:t xml:space="preserve">. </w:t>
      </w:r>
      <w:hyperlink r:id="rId30">
        <w:r w:rsidRPr="00093EB6">
          <w:rPr>
            <w:rFonts w:ascii="Times New Roman" w:eastAsia="Times New Roman" w:hAnsi="Times New Roman" w:cs="Times New Roman"/>
            <w:color w:val="1155CC"/>
            <w:sz w:val="24"/>
            <w:szCs w:val="24"/>
            <w:highlight w:val="white"/>
            <w:u w:val="single"/>
            <w:lang w:val="en-US"/>
          </w:rPr>
          <w:t>https://doi.org/10.1108/sjme-03-2023-0050</w:t>
        </w:r>
      </w:hyperlink>
      <w:r w:rsidRPr="00093EB6">
        <w:rPr>
          <w:rFonts w:ascii="Times New Roman" w:eastAsia="Times New Roman" w:hAnsi="Times New Roman" w:cs="Times New Roman"/>
          <w:color w:val="222222"/>
          <w:sz w:val="24"/>
          <w:szCs w:val="24"/>
          <w:highlight w:val="white"/>
          <w:lang w:val="en-US"/>
        </w:rPr>
        <w:t xml:space="preserve"> </w:t>
      </w:r>
    </w:p>
    <w:p w14:paraId="69842668" w14:textId="77777777" w:rsidR="006331E1" w:rsidRPr="00093EB6" w:rsidRDefault="006331E1" w:rsidP="006331E1">
      <w:pPr>
        <w:spacing w:after="10pt" w:line="18pt" w:lineRule="auto"/>
        <w:ind w:start="36pt"/>
        <w:jc w:val="both"/>
        <w:rPr>
          <w:rFonts w:ascii="Times New Roman" w:eastAsia="Times New Roman" w:hAnsi="Times New Roman" w:cs="Times New Roman"/>
          <w:color w:val="05103E"/>
          <w:sz w:val="24"/>
          <w:szCs w:val="24"/>
          <w:highlight w:val="white"/>
          <w:lang w:val="en-US"/>
        </w:rPr>
      </w:pPr>
      <w:proofErr w:type="spellStart"/>
      <w:r w:rsidRPr="00093EB6">
        <w:rPr>
          <w:rFonts w:ascii="Times New Roman" w:eastAsia="Times New Roman" w:hAnsi="Times New Roman" w:cs="Times New Roman"/>
          <w:sz w:val="24"/>
          <w:szCs w:val="24"/>
          <w:highlight w:val="white"/>
          <w:lang w:val="en-US"/>
        </w:rPr>
        <w:t>Birknerová</w:t>
      </w:r>
      <w:proofErr w:type="spellEnd"/>
      <w:r w:rsidRPr="00093EB6">
        <w:rPr>
          <w:rFonts w:ascii="Times New Roman" w:eastAsia="Times New Roman" w:hAnsi="Times New Roman" w:cs="Times New Roman"/>
          <w:sz w:val="24"/>
          <w:szCs w:val="24"/>
          <w:highlight w:val="white"/>
          <w:lang w:val="en-US"/>
        </w:rPr>
        <w:t xml:space="preserve">, Z., Miško, D., </w:t>
      </w:r>
      <w:proofErr w:type="spellStart"/>
      <w:r w:rsidRPr="00093EB6">
        <w:rPr>
          <w:rFonts w:ascii="Times New Roman" w:eastAsia="Times New Roman" w:hAnsi="Times New Roman" w:cs="Times New Roman"/>
          <w:sz w:val="24"/>
          <w:szCs w:val="24"/>
          <w:highlight w:val="white"/>
          <w:lang w:val="en-US"/>
        </w:rPr>
        <w:t>Ondrijová</w:t>
      </w:r>
      <w:proofErr w:type="spellEnd"/>
      <w:r w:rsidRPr="00093EB6">
        <w:rPr>
          <w:rFonts w:ascii="Times New Roman" w:eastAsia="Times New Roman" w:hAnsi="Times New Roman" w:cs="Times New Roman"/>
          <w:sz w:val="24"/>
          <w:szCs w:val="24"/>
          <w:highlight w:val="white"/>
          <w:lang w:val="en-US"/>
        </w:rPr>
        <w:t xml:space="preserve">, I., &amp; </w:t>
      </w:r>
      <w:proofErr w:type="spellStart"/>
      <w:r w:rsidRPr="00093EB6">
        <w:rPr>
          <w:rFonts w:ascii="Times New Roman" w:eastAsia="Times New Roman" w:hAnsi="Times New Roman" w:cs="Times New Roman"/>
          <w:sz w:val="24"/>
          <w:szCs w:val="24"/>
          <w:highlight w:val="white"/>
          <w:lang w:val="en-US"/>
        </w:rPr>
        <w:t>Čigarská</w:t>
      </w:r>
      <w:proofErr w:type="spellEnd"/>
      <w:r w:rsidRPr="00093EB6">
        <w:rPr>
          <w:rFonts w:ascii="Times New Roman" w:eastAsia="Times New Roman" w:hAnsi="Times New Roman" w:cs="Times New Roman"/>
          <w:sz w:val="24"/>
          <w:szCs w:val="24"/>
          <w:highlight w:val="white"/>
          <w:lang w:val="en-US"/>
        </w:rPr>
        <w:t xml:space="preserve">, B. N. (2022). Analysis of Consumer Awareness of Neuromarketing. </w:t>
      </w:r>
      <w:r w:rsidRPr="00093EB6">
        <w:rPr>
          <w:rFonts w:ascii="Times New Roman" w:eastAsia="Times New Roman" w:hAnsi="Times New Roman" w:cs="Times New Roman"/>
          <w:i/>
          <w:sz w:val="24"/>
          <w:szCs w:val="24"/>
          <w:highlight w:val="white"/>
          <w:lang w:val="en-US"/>
        </w:rPr>
        <w:t>TEM Journal</w:t>
      </w:r>
      <w:r w:rsidRPr="00093EB6">
        <w:rPr>
          <w:rFonts w:ascii="Times New Roman" w:eastAsia="Times New Roman" w:hAnsi="Times New Roman" w:cs="Times New Roman"/>
          <w:sz w:val="24"/>
          <w:szCs w:val="24"/>
          <w:highlight w:val="white"/>
          <w:lang w:val="en-US"/>
        </w:rPr>
        <w:t xml:space="preserve">, 870-875. </w:t>
      </w:r>
      <w:hyperlink r:id="rId31">
        <w:r w:rsidRPr="00093EB6">
          <w:rPr>
            <w:rFonts w:ascii="Times New Roman" w:eastAsia="Times New Roman" w:hAnsi="Times New Roman" w:cs="Times New Roman"/>
            <w:color w:val="1155CC"/>
            <w:sz w:val="24"/>
            <w:szCs w:val="24"/>
            <w:highlight w:val="white"/>
            <w:u w:val="single"/>
            <w:lang w:val="en-US"/>
          </w:rPr>
          <w:t>https://doi.org/10.18421/tem112-47</w:t>
        </w:r>
      </w:hyperlink>
      <w:r w:rsidRPr="00093EB6">
        <w:rPr>
          <w:rFonts w:ascii="Times New Roman" w:eastAsia="Times New Roman" w:hAnsi="Times New Roman" w:cs="Times New Roman"/>
          <w:color w:val="05103E"/>
          <w:sz w:val="24"/>
          <w:szCs w:val="24"/>
          <w:highlight w:val="white"/>
          <w:lang w:val="en-US"/>
        </w:rPr>
        <w:t xml:space="preserve"> </w:t>
      </w:r>
    </w:p>
    <w:p w14:paraId="0DC252FB" w14:textId="77777777" w:rsidR="006331E1" w:rsidRPr="00093EB6" w:rsidRDefault="006331E1" w:rsidP="006331E1">
      <w:pPr>
        <w:spacing w:line="18pt" w:lineRule="auto"/>
        <w:ind w:start="36pt"/>
        <w:jc w:val="both"/>
        <w:rPr>
          <w:rFonts w:ascii="Times New Roman" w:eastAsia="Times New Roman" w:hAnsi="Times New Roman" w:cs="Times New Roman"/>
          <w:color w:val="05103E"/>
          <w:sz w:val="24"/>
          <w:szCs w:val="24"/>
          <w:highlight w:val="white"/>
          <w:lang w:val="en-US"/>
        </w:rPr>
      </w:pPr>
      <w:hyperlink r:id="rId32">
        <w:r w:rsidRPr="00093EB6">
          <w:rPr>
            <w:rFonts w:ascii="Times New Roman" w:eastAsia="Times New Roman" w:hAnsi="Times New Roman" w:cs="Times New Roman"/>
            <w:sz w:val="24"/>
            <w:szCs w:val="24"/>
            <w:highlight w:val="white"/>
            <w:lang w:val="en-US"/>
          </w:rPr>
          <w:t xml:space="preserve">Boscolo, J.C., Oliveira, J.H.C., Maheshwari, V. and Giraldi, J.d.M.E. (2021), "Gender differences: visual attention and attitude toward advertisements", </w:t>
        </w:r>
        <w:r w:rsidRPr="00093EB6">
          <w:rPr>
            <w:rFonts w:ascii="Times New Roman" w:eastAsia="Times New Roman" w:hAnsi="Times New Roman" w:cs="Times New Roman"/>
            <w:sz w:val="24"/>
            <w:szCs w:val="24"/>
            <w:highlight w:val="white"/>
            <w:lang w:val="en-US"/>
          </w:rPr>
          <w:lastRenderedPageBreak/>
          <w:t xml:space="preserve">Marketing Intelligence &amp; Planning, Vol. 39 No. 2, pp. 300-314. </w:t>
        </w:r>
      </w:hyperlink>
      <w:hyperlink r:id="rId33">
        <w:r w:rsidRPr="00093EB6">
          <w:rPr>
            <w:rFonts w:ascii="Times New Roman" w:eastAsia="Times New Roman" w:hAnsi="Times New Roman" w:cs="Times New Roman"/>
            <w:color w:val="1155CC"/>
            <w:sz w:val="24"/>
            <w:szCs w:val="24"/>
            <w:highlight w:val="white"/>
            <w:u w:val="single"/>
            <w:lang w:val="en-US"/>
          </w:rPr>
          <w:t>https://doi.upc.elogim.com/10.1108/MIP-11-2019-0598</w:t>
        </w:r>
      </w:hyperlink>
      <w:r w:rsidRPr="00093EB6">
        <w:rPr>
          <w:rFonts w:ascii="Times New Roman" w:eastAsia="Times New Roman" w:hAnsi="Times New Roman" w:cs="Times New Roman"/>
          <w:color w:val="222222"/>
          <w:sz w:val="24"/>
          <w:szCs w:val="24"/>
          <w:highlight w:val="white"/>
          <w:lang w:val="en-US"/>
        </w:rPr>
        <w:t xml:space="preserve"> </w:t>
      </w:r>
    </w:p>
    <w:p w14:paraId="72F62093" w14:textId="77777777" w:rsidR="006331E1" w:rsidRPr="00093EB6" w:rsidRDefault="006331E1" w:rsidP="006331E1">
      <w:pPr>
        <w:spacing w:after="10pt" w:line="18pt" w:lineRule="auto"/>
        <w:ind w:start="36pt"/>
        <w:jc w:val="both"/>
        <w:rPr>
          <w:rFonts w:ascii="Times New Roman" w:eastAsia="Times New Roman" w:hAnsi="Times New Roman" w:cs="Times New Roman"/>
          <w:sz w:val="24"/>
          <w:szCs w:val="24"/>
          <w:highlight w:val="white"/>
          <w:lang w:val="en-US"/>
        </w:rPr>
      </w:pPr>
      <w:r w:rsidRPr="00093EB6">
        <w:rPr>
          <w:rFonts w:ascii="Times New Roman" w:eastAsia="Times New Roman" w:hAnsi="Times New Roman" w:cs="Times New Roman"/>
          <w:sz w:val="24"/>
          <w:szCs w:val="24"/>
          <w:highlight w:val="white"/>
          <w:lang w:val="en-US"/>
        </w:rPr>
        <w:t xml:space="preserve">Cerro, V., Arta, A. &amp; </w:t>
      </w:r>
      <w:proofErr w:type="spellStart"/>
      <w:r w:rsidRPr="00093EB6">
        <w:rPr>
          <w:rFonts w:ascii="Times New Roman" w:eastAsia="Times New Roman" w:hAnsi="Times New Roman" w:cs="Times New Roman"/>
          <w:sz w:val="24"/>
          <w:szCs w:val="24"/>
          <w:highlight w:val="white"/>
          <w:lang w:val="en-US"/>
        </w:rPr>
        <w:t>Sutil</w:t>
      </w:r>
      <w:proofErr w:type="spellEnd"/>
      <w:r w:rsidRPr="00093EB6">
        <w:rPr>
          <w:rFonts w:ascii="Times New Roman" w:eastAsia="Times New Roman" w:hAnsi="Times New Roman" w:cs="Times New Roman"/>
          <w:sz w:val="24"/>
          <w:szCs w:val="24"/>
          <w:highlight w:val="white"/>
          <w:lang w:val="en-US"/>
        </w:rPr>
        <w:t xml:space="preserve">, D. (2023). Consumer neuroscience on branding and packaging: A review and future research agenda. </w:t>
      </w:r>
      <w:r w:rsidRPr="00093EB6">
        <w:rPr>
          <w:rFonts w:ascii="Times New Roman" w:eastAsia="Times New Roman" w:hAnsi="Times New Roman" w:cs="Times New Roman"/>
          <w:i/>
          <w:sz w:val="24"/>
          <w:szCs w:val="24"/>
          <w:highlight w:val="white"/>
          <w:lang w:val="en-US"/>
        </w:rPr>
        <w:t>International Journal of Consumer Studies</w:t>
      </w:r>
      <w:r w:rsidRPr="00093EB6">
        <w:rPr>
          <w:rFonts w:ascii="Times New Roman" w:eastAsia="Times New Roman" w:hAnsi="Times New Roman" w:cs="Times New Roman"/>
          <w:sz w:val="24"/>
          <w:szCs w:val="24"/>
          <w:highlight w:val="white"/>
          <w:lang w:val="en-US"/>
        </w:rPr>
        <w:t xml:space="preserve">. 47(6), 2790-2815. </w:t>
      </w:r>
      <w:hyperlink r:id="rId34">
        <w:r w:rsidRPr="00093EB6">
          <w:rPr>
            <w:rFonts w:ascii="Times New Roman" w:eastAsia="Times New Roman" w:hAnsi="Times New Roman" w:cs="Times New Roman"/>
            <w:color w:val="1155CC"/>
            <w:sz w:val="24"/>
            <w:szCs w:val="24"/>
            <w:highlight w:val="white"/>
            <w:u w:val="single"/>
            <w:lang w:val="en-US"/>
          </w:rPr>
          <w:t>https://doi.org/10.1111/ijcs.12936</w:t>
        </w:r>
      </w:hyperlink>
    </w:p>
    <w:p w14:paraId="674CACD9" w14:textId="77777777" w:rsidR="006331E1" w:rsidRDefault="006331E1" w:rsidP="006331E1">
      <w:pPr>
        <w:spacing w:after="10pt" w:line="18pt" w:lineRule="auto"/>
        <w:ind w:start="36pt"/>
        <w:jc w:val="both"/>
        <w:rPr>
          <w:rFonts w:ascii="Times New Roman" w:eastAsia="Times New Roman" w:hAnsi="Times New Roman" w:cs="Times New Roman"/>
          <w:color w:val="05103E"/>
          <w:sz w:val="24"/>
          <w:szCs w:val="24"/>
          <w:highlight w:val="white"/>
        </w:rPr>
      </w:pPr>
      <w:r w:rsidRPr="00093EB6">
        <w:rPr>
          <w:rFonts w:ascii="Times New Roman" w:eastAsia="Times New Roman" w:hAnsi="Times New Roman" w:cs="Times New Roman"/>
          <w:sz w:val="24"/>
          <w:szCs w:val="24"/>
          <w:highlight w:val="white"/>
          <w:lang w:val="en-US"/>
        </w:rPr>
        <w:t xml:space="preserve">Crespo, V., Garcí­a, P., &amp; Martí­nez, V. (2019). An approach to the implementation of neuromarketing techniques by European private TV broadcasters. </w:t>
      </w:r>
      <w:r>
        <w:rPr>
          <w:rFonts w:ascii="Times New Roman" w:eastAsia="Times New Roman" w:hAnsi="Times New Roman" w:cs="Times New Roman"/>
          <w:i/>
          <w:sz w:val="24"/>
          <w:szCs w:val="24"/>
          <w:highlight w:val="white"/>
        </w:rPr>
        <w:t>Profesional De La información</w:t>
      </w:r>
      <w:r>
        <w:rPr>
          <w:rFonts w:ascii="Times New Roman" w:eastAsia="Times New Roman" w:hAnsi="Times New Roman" w:cs="Times New Roman"/>
          <w:sz w:val="24"/>
          <w:szCs w:val="24"/>
          <w:highlight w:val="white"/>
        </w:rPr>
        <w:t xml:space="preserve">, 28(5). </w:t>
      </w:r>
      <w:hyperlink r:id="rId35">
        <w:r>
          <w:rPr>
            <w:rFonts w:ascii="Times New Roman" w:eastAsia="Times New Roman" w:hAnsi="Times New Roman" w:cs="Times New Roman"/>
            <w:color w:val="1155CC"/>
            <w:sz w:val="24"/>
            <w:szCs w:val="24"/>
            <w:highlight w:val="white"/>
            <w:u w:val="single"/>
          </w:rPr>
          <w:t>https://doi.org/10.3145/epi.2019.sep.04</w:t>
        </w:r>
      </w:hyperlink>
      <w:r>
        <w:rPr>
          <w:rFonts w:ascii="Times New Roman" w:eastAsia="Times New Roman" w:hAnsi="Times New Roman" w:cs="Times New Roman"/>
          <w:color w:val="05103E"/>
          <w:sz w:val="24"/>
          <w:szCs w:val="24"/>
          <w:highlight w:val="white"/>
        </w:rPr>
        <w:t xml:space="preserve"> </w:t>
      </w:r>
    </w:p>
    <w:p w14:paraId="038FEE02" w14:textId="77777777" w:rsidR="006331E1" w:rsidRDefault="006331E1" w:rsidP="006331E1">
      <w:pPr>
        <w:spacing w:after="10pt" w:line="18pt" w:lineRule="auto"/>
        <w:ind w:start="36pt"/>
        <w:jc w:val="both"/>
        <w:rPr>
          <w:rFonts w:ascii="Times New Roman" w:eastAsia="Times New Roman" w:hAnsi="Times New Roman" w:cs="Times New Roman"/>
          <w:color w:val="333333"/>
          <w:sz w:val="24"/>
          <w:szCs w:val="24"/>
          <w:highlight w:val="white"/>
        </w:rPr>
      </w:pPr>
      <w:proofErr w:type="spellStart"/>
      <w:r w:rsidRPr="005024A9">
        <w:rPr>
          <w:rFonts w:ascii="Times New Roman" w:eastAsia="Times New Roman" w:hAnsi="Times New Roman" w:cs="Times New Roman"/>
          <w:color w:val="333333"/>
          <w:sz w:val="24"/>
          <w:szCs w:val="24"/>
          <w:highlight w:val="white"/>
          <w:lang w:val="en-US"/>
        </w:rPr>
        <w:t>Fondevila</w:t>
      </w:r>
      <w:proofErr w:type="spellEnd"/>
      <w:r w:rsidRPr="005024A9">
        <w:rPr>
          <w:rFonts w:ascii="Times New Roman" w:eastAsia="Times New Roman" w:hAnsi="Times New Roman" w:cs="Times New Roman"/>
          <w:color w:val="333333"/>
          <w:sz w:val="24"/>
          <w:szCs w:val="24"/>
          <w:highlight w:val="white"/>
          <w:lang w:val="en-US"/>
        </w:rPr>
        <w:t xml:space="preserve">-Gascón, J., Gutiérrez-Aragón, O., </w:t>
      </w:r>
      <w:proofErr w:type="spellStart"/>
      <w:r w:rsidRPr="005024A9">
        <w:rPr>
          <w:rFonts w:ascii="Times New Roman" w:eastAsia="Times New Roman" w:hAnsi="Times New Roman" w:cs="Times New Roman"/>
          <w:color w:val="333333"/>
          <w:sz w:val="24"/>
          <w:szCs w:val="24"/>
          <w:highlight w:val="white"/>
          <w:lang w:val="en-US"/>
        </w:rPr>
        <w:t>Copeiro</w:t>
      </w:r>
      <w:proofErr w:type="spellEnd"/>
      <w:r w:rsidRPr="005024A9">
        <w:rPr>
          <w:rFonts w:ascii="Times New Roman" w:eastAsia="Times New Roman" w:hAnsi="Times New Roman" w:cs="Times New Roman"/>
          <w:color w:val="333333"/>
          <w:sz w:val="24"/>
          <w:szCs w:val="24"/>
          <w:highlight w:val="white"/>
          <w:lang w:val="en-US"/>
        </w:rPr>
        <w:t>, M., Villalba-</w:t>
      </w:r>
      <w:proofErr w:type="spellStart"/>
      <w:r w:rsidRPr="005024A9">
        <w:rPr>
          <w:rFonts w:ascii="Times New Roman" w:eastAsia="Times New Roman" w:hAnsi="Times New Roman" w:cs="Times New Roman"/>
          <w:color w:val="333333"/>
          <w:sz w:val="24"/>
          <w:szCs w:val="24"/>
          <w:highlight w:val="white"/>
          <w:lang w:val="en-US"/>
        </w:rPr>
        <w:t>Palacín</w:t>
      </w:r>
      <w:proofErr w:type="spellEnd"/>
      <w:r w:rsidRPr="005024A9">
        <w:rPr>
          <w:rFonts w:ascii="Times New Roman" w:eastAsia="Times New Roman" w:hAnsi="Times New Roman" w:cs="Times New Roman"/>
          <w:color w:val="333333"/>
          <w:sz w:val="24"/>
          <w:szCs w:val="24"/>
          <w:highlight w:val="white"/>
          <w:lang w:val="en-US"/>
        </w:rPr>
        <w:t xml:space="preserve">, V. &amp; Polo-López, M. (2020). </w:t>
      </w:r>
      <w:r w:rsidRPr="00093EB6">
        <w:rPr>
          <w:rFonts w:ascii="Times New Roman" w:eastAsia="Times New Roman" w:hAnsi="Times New Roman" w:cs="Times New Roman"/>
          <w:color w:val="333333"/>
          <w:sz w:val="24"/>
          <w:szCs w:val="24"/>
          <w:highlight w:val="white"/>
          <w:lang w:val="en-US"/>
        </w:rPr>
        <w:t xml:space="preserve">Influence of Instagram stories in attention and emotion depending on gender. </w:t>
      </w:r>
      <w:r>
        <w:rPr>
          <w:rFonts w:ascii="Times New Roman" w:eastAsia="Times New Roman" w:hAnsi="Times New Roman" w:cs="Times New Roman"/>
          <w:color w:val="333333"/>
          <w:sz w:val="24"/>
          <w:szCs w:val="24"/>
          <w:highlight w:val="white"/>
        </w:rPr>
        <w:t xml:space="preserve">[Influencia de las historias de Instagram en la atención y emoción según el género]. Comunicar, 63, 41-50. </w:t>
      </w:r>
      <w:hyperlink r:id="rId36">
        <w:r>
          <w:rPr>
            <w:rFonts w:ascii="Times New Roman" w:eastAsia="Times New Roman" w:hAnsi="Times New Roman" w:cs="Times New Roman"/>
            <w:color w:val="1155CC"/>
            <w:sz w:val="24"/>
            <w:szCs w:val="24"/>
            <w:highlight w:val="white"/>
            <w:u w:val="single"/>
          </w:rPr>
          <w:t>https://doi.org/10.3916/C63-2020-04</w:t>
        </w:r>
      </w:hyperlink>
      <w:r>
        <w:rPr>
          <w:rFonts w:ascii="Times New Roman" w:eastAsia="Times New Roman" w:hAnsi="Times New Roman" w:cs="Times New Roman"/>
          <w:color w:val="333333"/>
          <w:sz w:val="24"/>
          <w:szCs w:val="24"/>
          <w:highlight w:val="white"/>
        </w:rPr>
        <w:t xml:space="preserve"> </w:t>
      </w:r>
    </w:p>
    <w:p w14:paraId="43AA68CA" w14:textId="77777777" w:rsidR="006331E1"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Ferrer-López, M. (2020). Neuromarketing y la medición del efecto de la publicidad de </w:t>
      </w:r>
      <w:proofErr w:type="spellStart"/>
      <w:r>
        <w:rPr>
          <w:rFonts w:ascii="Times New Roman" w:eastAsia="Times New Roman" w:hAnsi="Times New Roman" w:cs="Times New Roman"/>
          <w:color w:val="222222"/>
          <w:sz w:val="24"/>
          <w:szCs w:val="24"/>
          <w:highlight w:val="white"/>
        </w:rPr>
        <w:t>influencers</w:t>
      </w:r>
      <w:proofErr w:type="spellEnd"/>
      <w:r>
        <w:rPr>
          <w:rFonts w:ascii="Times New Roman" w:eastAsia="Times New Roman" w:hAnsi="Times New Roman" w:cs="Times New Roman"/>
          <w:color w:val="222222"/>
          <w:sz w:val="24"/>
          <w:szCs w:val="24"/>
          <w:highlight w:val="white"/>
        </w:rPr>
        <w:t xml:space="preserve"> en adolescentes. Revista Mediterránea De Comunicación, 11(2), 241–259. </w:t>
      </w:r>
      <w:hyperlink r:id="rId37">
        <w:r>
          <w:rPr>
            <w:rFonts w:ascii="Times New Roman" w:eastAsia="Times New Roman" w:hAnsi="Times New Roman" w:cs="Times New Roman"/>
            <w:color w:val="1155CC"/>
            <w:sz w:val="24"/>
            <w:szCs w:val="24"/>
            <w:highlight w:val="white"/>
            <w:u w:val="single"/>
          </w:rPr>
          <w:t>https://doi.org/10.14198/MEDCOM2020.11.2.11</w:t>
        </w:r>
      </w:hyperlink>
    </w:p>
    <w:p w14:paraId="7B82F1B5"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r w:rsidRPr="005024A9">
        <w:rPr>
          <w:rFonts w:ascii="Times New Roman" w:eastAsia="Times New Roman" w:hAnsi="Times New Roman" w:cs="Times New Roman"/>
          <w:color w:val="222222"/>
          <w:sz w:val="24"/>
          <w:szCs w:val="24"/>
          <w:highlight w:val="white"/>
          <w:lang w:val="en-US"/>
        </w:rPr>
        <w:t xml:space="preserve">García-Madariaga, J., Sandoval, P. S., &amp; Burgos, I. M. (2023). </w:t>
      </w:r>
      <w:r w:rsidRPr="00093EB6">
        <w:rPr>
          <w:rFonts w:ascii="Times New Roman" w:eastAsia="Times New Roman" w:hAnsi="Times New Roman" w:cs="Times New Roman"/>
          <w:color w:val="222222"/>
          <w:sz w:val="24"/>
          <w:szCs w:val="24"/>
          <w:highlight w:val="white"/>
          <w:lang w:val="en-US"/>
        </w:rPr>
        <w:t xml:space="preserve">How brand familiarity influences advertising effectiveness of non-profit organizations. </w:t>
      </w:r>
      <w:r w:rsidRPr="00093EB6">
        <w:rPr>
          <w:rFonts w:ascii="Times New Roman" w:eastAsia="Times New Roman" w:hAnsi="Times New Roman" w:cs="Times New Roman"/>
          <w:i/>
          <w:color w:val="222222"/>
          <w:sz w:val="24"/>
          <w:szCs w:val="24"/>
          <w:highlight w:val="white"/>
          <w:lang w:val="en-US"/>
        </w:rPr>
        <w:t>International Review On Public And Nonprofit Marketing</w:t>
      </w:r>
      <w:r w:rsidRPr="00093EB6">
        <w:rPr>
          <w:rFonts w:ascii="Times New Roman" w:eastAsia="Times New Roman" w:hAnsi="Times New Roman" w:cs="Times New Roman"/>
          <w:color w:val="222222"/>
          <w:sz w:val="24"/>
          <w:szCs w:val="24"/>
          <w:highlight w:val="white"/>
          <w:lang w:val="en-US"/>
        </w:rPr>
        <w:t xml:space="preserve">. </w:t>
      </w:r>
      <w:hyperlink r:id="rId38">
        <w:r w:rsidRPr="00093EB6">
          <w:rPr>
            <w:rFonts w:ascii="Times New Roman" w:eastAsia="Times New Roman" w:hAnsi="Times New Roman" w:cs="Times New Roman"/>
            <w:color w:val="1155CC"/>
            <w:sz w:val="24"/>
            <w:szCs w:val="24"/>
            <w:highlight w:val="white"/>
            <w:u w:val="single"/>
            <w:lang w:val="en-US"/>
          </w:rPr>
          <w:t>https://doi.org/10.1007/s12208-023-00380-8</w:t>
        </w:r>
      </w:hyperlink>
    </w:p>
    <w:p w14:paraId="697FB545" w14:textId="77777777" w:rsidR="006331E1" w:rsidRPr="00093EB6"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lang w:val="en-US"/>
        </w:rPr>
      </w:pPr>
      <w:proofErr w:type="spellStart"/>
      <w:r w:rsidRPr="00093EB6">
        <w:rPr>
          <w:rFonts w:ascii="Times New Roman" w:eastAsia="Times New Roman" w:hAnsi="Times New Roman" w:cs="Times New Roman"/>
          <w:color w:val="222222"/>
          <w:sz w:val="24"/>
          <w:szCs w:val="24"/>
          <w:highlight w:val="white"/>
          <w:lang w:val="en-US"/>
        </w:rPr>
        <w:t>Garczarek-Bąk</w:t>
      </w:r>
      <w:proofErr w:type="spellEnd"/>
      <w:r w:rsidRPr="00093EB6">
        <w:rPr>
          <w:rFonts w:ascii="Times New Roman" w:eastAsia="Times New Roman" w:hAnsi="Times New Roman" w:cs="Times New Roman"/>
          <w:color w:val="222222"/>
          <w:sz w:val="24"/>
          <w:szCs w:val="24"/>
          <w:highlight w:val="white"/>
          <w:lang w:val="en-US"/>
        </w:rPr>
        <w:t xml:space="preserve">, U., Szymkowiak, A., </w:t>
      </w:r>
      <w:proofErr w:type="spellStart"/>
      <w:r w:rsidRPr="00093EB6">
        <w:rPr>
          <w:rFonts w:ascii="Times New Roman" w:eastAsia="Times New Roman" w:hAnsi="Times New Roman" w:cs="Times New Roman"/>
          <w:color w:val="222222"/>
          <w:sz w:val="24"/>
          <w:szCs w:val="24"/>
          <w:highlight w:val="white"/>
          <w:lang w:val="en-US"/>
        </w:rPr>
        <w:t>Gaczek</w:t>
      </w:r>
      <w:proofErr w:type="spellEnd"/>
      <w:r w:rsidRPr="00093EB6">
        <w:rPr>
          <w:rFonts w:ascii="Times New Roman" w:eastAsia="Times New Roman" w:hAnsi="Times New Roman" w:cs="Times New Roman"/>
          <w:color w:val="222222"/>
          <w:sz w:val="24"/>
          <w:szCs w:val="24"/>
          <w:highlight w:val="white"/>
          <w:lang w:val="en-US"/>
        </w:rPr>
        <w:t xml:space="preserve">, P. et al. A comparative analysis of neuromarketing methods for brand purchasing predictions among young adults. J Brand Manag 28, 171–185 (2021). </w:t>
      </w:r>
      <w:hyperlink r:id="rId39">
        <w:r w:rsidRPr="00093EB6">
          <w:rPr>
            <w:rFonts w:ascii="Times New Roman" w:eastAsia="Times New Roman" w:hAnsi="Times New Roman" w:cs="Times New Roman"/>
            <w:color w:val="1155CC"/>
            <w:sz w:val="24"/>
            <w:szCs w:val="24"/>
            <w:highlight w:val="white"/>
            <w:u w:val="single"/>
            <w:lang w:val="en-US"/>
          </w:rPr>
          <w:t>https://doi.org/10.1057/s41262-020-00221-7</w:t>
        </w:r>
      </w:hyperlink>
    </w:p>
    <w:p w14:paraId="635A1678" w14:textId="77777777" w:rsidR="006331E1" w:rsidRPr="005024A9"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rPr>
      </w:pPr>
      <w:r w:rsidRPr="00093EB6">
        <w:rPr>
          <w:rFonts w:ascii="Times New Roman" w:eastAsia="Times New Roman" w:hAnsi="Times New Roman" w:cs="Times New Roman"/>
          <w:sz w:val="24"/>
          <w:szCs w:val="24"/>
          <w:highlight w:val="white"/>
          <w:lang w:val="en-US"/>
        </w:rPr>
        <w:t xml:space="preserve">Georgiadis, K., </w:t>
      </w:r>
      <w:proofErr w:type="spellStart"/>
      <w:r w:rsidRPr="00093EB6">
        <w:rPr>
          <w:rFonts w:ascii="Times New Roman" w:eastAsia="Times New Roman" w:hAnsi="Times New Roman" w:cs="Times New Roman"/>
          <w:sz w:val="24"/>
          <w:szCs w:val="24"/>
          <w:highlight w:val="white"/>
          <w:lang w:val="en-US"/>
        </w:rPr>
        <w:t>Kalaganis</w:t>
      </w:r>
      <w:proofErr w:type="spellEnd"/>
      <w:r w:rsidRPr="00093EB6">
        <w:rPr>
          <w:rFonts w:ascii="Times New Roman" w:eastAsia="Times New Roman" w:hAnsi="Times New Roman" w:cs="Times New Roman"/>
          <w:sz w:val="24"/>
          <w:szCs w:val="24"/>
          <w:highlight w:val="white"/>
          <w:lang w:val="en-US"/>
        </w:rPr>
        <w:t xml:space="preserve">, F.P., </w:t>
      </w:r>
      <w:proofErr w:type="spellStart"/>
      <w:r w:rsidRPr="00093EB6">
        <w:rPr>
          <w:rFonts w:ascii="Times New Roman" w:eastAsia="Times New Roman" w:hAnsi="Times New Roman" w:cs="Times New Roman"/>
          <w:sz w:val="24"/>
          <w:szCs w:val="24"/>
          <w:highlight w:val="white"/>
          <w:lang w:val="en-US"/>
        </w:rPr>
        <w:t>Riskos</w:t>
      </w:r>
      <w:proofErr w:type="spellEnd"/>
      <w:r w:rsidRPr="00093EB6">
        <w:rPr>
          <w:rFonts w:ascii="Times New Roman" w:eastAsia="Times New Roman" w:hAnsi="Times New Roman" w:cs="Times New Roman"/>
          <w:sz w:val="24"/>
          <w:szCs w:val="24"/>
          <w:highlight w:val="white"/>
          <w:lang w:val="en-US"/>
        </w:rPr>
        <w:t xml:space="preserve">, K., Matta, E., Oikonomou, V.P., </w:t>
      </w:r>
      <w:proofErr w:type="spellStart"/>
      <w:r w:rsidRPr="00093EB6">
        <w:rPr>
          <w:rFonts w:ascii="Times New Roman" w:eastAsia="Times New Roman" w:hAnsi="Times New Roman" w:cs="Times New Roman"/>
          <w:sz w:val="24"/>
          <w:szCs w:val="24"/>
          <w:highlight w:val="white"/>
          <w:lang w:val="en-US"/>
        </w:rPr>
        <w:t>Yfantidou</w:t>
      </w:r>
      <w:proofErr w:type="spellEnd"/>
      <w:r w:rsidRPr="00093EB6">
        <w:rPr>
          <w:rFonts w:ascii="Times New Roman" w:eastAsia="Times New Roman" w:hAnsi="Times New Roman" w:cs="Times New Roman"/>
          <w:sz w:val="24"/>
          <w:szCs w:val="24"/>
          <w:highlight w:val="white"/>
          <w:lang w:val="en-US"/>
        </w:rPr>
        <w:t xml:space="preserve">, I., </w:t>
      </w:r>
      <w:proofErr w:type="spellStart"/>
      <w:r w:rsidRPr="00093EB6">
        <w:rPr>
          <w:rFonts w:ascii="Times New Roman" w:eastAsia="Times New Roman" w:hAnsi="Times New Roman" w:cs="Times New Roman"/>
          <w:sz w:val="24"/>
          <w:szCs w:val="24"/>
          <w:highlight w:val="white"/>
          <w:lang w:val="en-US"/>
        </w:rPr>
        <w:t>Chantziaras</w:t>
      </w:r>
      <w:proofErr w:type="spellEnd"/>
      <w:r w:rsidRPr="00093EB6">
        <w:rPr>
          <w:rFonts w:ascii="Times New Roman" w:eastAsia="Times New Roman" w:hAnsi="Times New Roman" w:cs="Times New Roman"/>
          <w:sz w:val="24"/>
          <w:szCs w:val="24"/>
          <w:highlight w:val="white"/>
          <w:lang w:val="en-US"/>
        </w:rPr>
        <w:t xml:space="preserve">, D., </w:t>
      </w:r>
      <w:proofErr w:type="spellStart"/>
      <w:r w:rsidRPr="00093EB6">
        <w:rPr>
          <w:rFonts w:ascii="Times New Roman" w:eastAsia="Times New Roman" w:hAnsi="Times New Roman" w:cs="Times New Roman"/>
          <w:sz w:val="24"/>
          <w:szCs w:val="24"/>
          <w:highlight w:val="white"/>
          <w:lang w:val="en-US"/>
        </w:rPr>
        <w:t>Pantouvakis</w:t>
      </w:r>
      <w:proofErr w:type="spellEnd"/>
      <w:r w:rsidRPr="00093EB6">
        <w:rPr>
          <w:rFonts w:ascii="Times New Roman" w:eastAsia="Times New Roman" w:hAnsi="Times New Roman" w:cs="Times New Roman"/>
          <w:sz w:val="24"/>
          <w:szCs w:val="24"/>
          <w:highlight w:val="white"/>
          <w:lang w:val="en-US"/>
        </w:rPr>
        <w:t xml:space="preserve">, K., Nikolopoulos, S., Laskaris, N.A., &amp; </w:t>
      </w:r>
      <w:proofErr w:type="spellStart"/>
      <w:r w:rsidRPr="00093EB6">
        <w:rPr>
          <w:rFonts w:ascii="Times New Roman" w:eastAsia="Times New Roman" w:hAnsi="Times New Roman" w:cs="Times New Roman"/>
          <w:sz w:val="24"/>
          <w:szCs w:val="24"/>
          <w:highlight w:val="white"/>
          <w:lang w:val="en-US"/>
        </w:rPr>
        <w:t>Kompatsiaris</w:t>
      </w:r>
      <w:proofErr w:type="spellEnd"/>
      <w:r w:rsidRPr="00093EB6">
        <w:rPr>
          <w:rFonts w:ascii="Times New Roman" w:eastAsia="Times New Roman" w:hAnsi="Times New Roman" w:cs="Times New Roman"/>
          <w:sz w:val="24"/>
          <w:szCs w:val="24"/>
          <w:highlight w:val="white"/>
          <w:lang w:val="en-US"/>
        </w:rPr>
        <w:t xml:space="preserve">, I. (2023). </w:t>
      </w:r>
      <w:proofErr w:type="spellStart"/>
      <w:r w:rsidRPr="00093EB6">
        <w:rPr>
          <w:rFonts w:ascii="Times New Roman" w:eastAsia="Times New Roman" w:hAnsi="Times New Roman" w:cs="Times New Roman"/>
          <w:sz w:val="24"/>
          <w:szCs w:val="24"/>
          <w:highlight w:val="white"/>
          <w:lang w:val="en-US"/>
        </w:rPr>
        <w:t>NeuMa</w:t>
      </w:r>
      <w:proofErr w:type="spellEnd"/>
      <w:r w:rsidRPr="00093EB6">
        <w:rPr>
          <w:rFonts w:ascii="Times New Roman" w:eastAsia="Times New Roman" w:hAnsi="Times New Roman" w:cs="Times New Roman"/>
          <w:sz w:val="24"/>
          <w:szCs w:val="24"/>
          <w:highlight w:val="white"/>
          <w:lang w:val="en-US"/>
        </w:rPr>
        <w:t xml:space="preserve"> - the absolute Neuromarketing dataset </w:t>
      </w:r>
      <w:proofErr w:type="spellStart"/>
      <w:r w:rsidRPr="00093EB6">
        <w:rPr>
          <w:rFonts w:ascii="Times New Roman" w:eastAsia="Times New Roman" w:hAnsi="Times New Roman" w:cs="Times New Roman"/>
          <w:sz w:val="24"/>
          <w:szCs w:val="24"/>
          <w:highlight w:val="white"/>
          <w:lang w:val="en-US"/>
        </w:rPr>
        <w:t>en</w:t>
      </w:r>
      <w:proofErr w:type="spellEnd"/>
      <w:r w:rsidRPr="00093EB6">
        <w:rPr>
          <w:rFonts w:ascii="Times New Roman" w:eastAsia="Times New Roman" w:hAnsi="Times New Roman" w:cs="Times New Roman"/>
          <w:sz w:val="24"/>
          <w:szCs w:val="24"/>
          <w:highlight w:val="white"/>
          <w:lang w:val="en-US"/>
        </w:rPr>
        <w:t xml:space="preserve"> route </w:t>
      </w:r>
      <w:r w:rsidRPr="00093EB6">
        <w:rPr>
          <w:rFonts w:ascii="Times New Roman" w:eastAsia="Times New Roman" w:hAnsi="Times New Roman" w:cs="Times New Roman"/>
          <w:sz w:val="24"/>
          <w:szCs w:val="24"/>
          <w:highlight w:val="white"/>
          <w:lang w:val="en-US"/>
        </w:rPr>
        <w:lastRenderedPageBreak/>
        <w:t xml:space="preserve">to an holistic understanding of consumer </w:t>
      </w:r>
      <w:proofErr w:type="spellStart"/>
      <w:r w:rsidRPr="00093EB6">
        <w:rPr>
          <w:rFonts w:ascii="Times New Roman" w:eastAsia="Times New Roman" w:hAnsi="Times New Roman" w:cs="Times New Roman"/>
          <w:sz w:val="24"/>
          <w:szCs w:val="24"/>
          <w:highlight w:val="white"/>
          <w:lang w:val="en-US"/>
        </w:rPr>
        <w:t>behaviour</w:t>
      </w:r>
      <w:proofErr w:type="spellEnd"/>
      <w:r w:rsidRPr="00093EB6">
        <w:rPr>
          <w:rFonts w:ascii="Times New Roman" w:eastAsia="Times New Roman" w:hAnsi="Times New Roman" w:cs="Times New Roman"/>
          <w:sz w:val="24"/>
          <w:szCs w:val="24"/>
          <w:highlight w:val="white"/>
          <w:lang w:val="en-US"/>
        </w:rPr>
        <w:t xml:space="preserve">. </w:t>
      </w:r>
      <w:proofErr w:type="spellStart"/>
      <w:r w:rsidRPr="005024A9">
        <w:rPr>
          <w:rFonts w:ascii="Times New Roman" w:eastAsia="Times New Roman" w:hAnsi="Times New Roman" w:cs="Times New Roman"/>
          <w:i/>
          <w:sz w:val="24"/>
          <w:szCs w:val="24"/>
          <w:highlight w:val="white"/>
        </w:rPr>
        <w:t>Scientific</w:t>
      </w:r>
      <w:proofErr w:type="spellEnd"/>
      <w:r w:rsidRPr="005024A9">
        <w:rPr>
          <w:rFonts w:ascii="Times New Roman" w:eastAsia="Times New Roman" w:hAnsi="Times New Roman" w:cs="Times New Roman"/>
          <w:i/>
          <w:sz w:val="24"/>
          <w:szCs w:val="24"/>
          <w:highlight w:val="white"/>
        </w:rPr>
        <w:t xml:space="preserve"> Data</w:t>
      </w:r>
      <w:r w:rsidRPr="005024A9">
        <w:rPr>
          <w:rFonts w:ascii="Times New Roman" w:eastAsia="Times New Roman" w:hAnsi="Times New Roman" w:cs="Times New Roman"/>
          <w:sz w:val="24"/>
          <w:szCs w:val="24"/>
          <w:highlight w:val="white"/>
        </w:rPr>
        <w:t xml:space="preserve">, 10(1), art. no. 508. </w:t>
      </w:r>
      <w:hyperlink r:id="rId40">
        <w:r w:rsidRPr="005024A9">
          <w:rPr>
            <w:rFonts w:ascii="Times New Roman" w:eastAsia="Times New Roman" w:hAnsi="Times New Roman" w:cs="Times New Roman"/>
            <w:color w:val="1155CC"/>
            <w:sz w:val="24"/>
            <w:szCs w:val="24"/>
            <w:highlight w:val="white"/>
            <w:u w:val="single"/>
          </w:rPr>
          <w:t>https://doi.org/10.1038/s41597-023-02392-9</w:t>
        </w:r>
      </w:hyperlink>
    </w:p>
    <w:p w14:paraId="121CE3D8" w14:textId="77777777" w:rsidR="006331E1" w:rsidRDefault="006331E1" w:rsidP="006331E1">
      <w:pPr>
        <w:spacing w:line="18pt" w:lineRule="auto"/>
        <w:ind w:start="36pt"/>
        <w:jc w:val="both"/>
        <w:rPr>
          <w:rFonts w:ascii="Times New Roman" w:eastAsia="Times New Roman" w:hAnsi="Times New Roman" w:cs="Times New Roman"/>
          <w:color w:val="333333"/>
          <w:sz w:val="24"/>
          <w:szCs w:val="24"/>
          <w:highlight w:val="white"/>
        </w:rPr>
      </w:pPr>
      <w:proofErr w:type="spellStart"/>
      <w:r w:rsidRPr="005024A9">
        <w:rPr>
          <w:rFonts w:ascii="Times New Roman" w:eastAsia="Times New Roman" w:hAnsi="Times New Roman" w:cs="Times New Roman"/>
          <w:color w:val="222222"/>
          <w:sz w:val="24"/>
          <w:szCs w:val="24"/>
          <w:highlight w:val="white"/>
        </w:rPr>
        <w:t>Giakoni</w:t>
      </w:r>
      <w:proofErr w:type="spellEnd"/>
      <w:r w:rsidRPr="005024A9">
        <w:rPr>
          <w:rFonts w:ascii="Times New Roman" w:eastAsia="Times New Roman" w:hAnsi="Times New Roman" w:cs="Times New Roman"/>
          <w:color w:val="222222"/>
          <w:sz w:val="24"/>
          <w:szCs w:val="24"/>
          <w:highlight w:val="white"/>
        </w:rPr>
        <w:t xml:space="preserve">, F., López, M., Segado, F. ., Manzanares, A., &amp; Mínguez, J. (2022). </w:t>
      </w:r>
      <w:r>
        <w:rPr>
          <w:rFonts w:ascii="Times New Roman" w:eastAsia="Times New Roman" w:hAnsi="Times New Roman" w:cs="Times New Roman"/>
          <w:color w:val="222222"/>
          <w:sz w:val="24"/>
          <w:szCs w:val="24"/>
          <w:highlight w:val="white"/>
        </w:rPr>
        <w:t xml:space="preserve">Metodología de investigación implícita para evaluar la eficacia de la publicidad en el </w:t>
      </w:r>
      <w:proofErr w:type="spellStart"/>
      <w:r>
        <w:rPr>
          <w:rFonts w:ascii="Times New Roman" w:eastAsia="Times New Roman" w:hAnsi="Times New Roman" w:cs="Times New Roman"/>
          <w:color w:val="222222"/>
          <w:sz w:val="24"/>
          <w:szCs w:val="24"/>
          <w:highlight w:val="white"/>
        </w:rPr>
        <w:t>streaming</w:t>
      </w:r>
      <w:proofErr w:type="spellEnd"/>
      <w:r>
        <w:rPr>
          <w:rFonts w:ascii="Times New Roman" w:eastAsia="Times New Roman" w:hAnsi="Times New Roman" w:cs="Times New Roman"/>
          <w:color w:val="222222"/>
          <w:sz w:val="24"/>
          <w:szCs w:val="24"/>
          <w:highlight w:val="white"/>
        </w:rPr>
        <w:t xml:space="preserve"> de </w:t>
      </w:r>
      <w:proofErr w:type="spellStart"/>
      <w:r>
        <w:rPr>
          <w:rFonts w:ascii="Times New Roman" w:eastAsia="Times New Roman" w:hAnsi="Times New Roman" w:cs="Times New Roman"/>
          <w:color w:val="222222"/>
          <w:sz w:val="24"/>
          <w:szCs w:val="24"/>
          <w:highlight w:val="white"/>
        </w:rPr>
        <w:t>Esports</w:t>
      </w:r>
      <w:proofErr w:type="spellEnd"/>
      <w:r>
        <w:rPr>
          <w:rFonts w:ascii="Times New Roman" w:eastAsia="Times New Roman" w:hAnsi="Times New Roman" w:cs="Times New Roman"/>
          <w:color w:val="222222"/>
          <w:sz w:val="24"/>
          <w:szCs w:val="24"/>
          <w:highlight w:val="white"/>
        </w:rPr>
        <w:t xml:space="preserve"> basada en la mirada, las respuestas cognitivas y emocionales de los espectadores. </w:t>
      </w:r>
      <w:r>
        <w:rPr>
          <w:rFonts w:ascii="Times New Roman" w:eastAsia="Times New Roman" w:hAnsi="Times New Roman" w:cs="Times New Roman"/>
          <w:i/>
          <w:color w:val="222222"/>
          <w:sz w:val="24"/>
          <w:szCs w:val="24"/>
          <w:highlight w:val="white"/>
        </w:rPr>
        <w:t xml:space="preserve">SPORT TK-Revista </w:t>
      </w:r>
      <w:proofErr w:type="spellStart"/>
      <w:r>
        <w:rPr>
          <w:rFonts w:ascii="Times New Roman" w:eastAsia="Times New Roman" w:hAnsi="Times New Roman" w:cs="Times New Roman"/>
          <w:i/>
          <w:color w:val="222222"/>
          <w:sz w:val="24"/>
          <w:szCs w:val="24"/>
          <w:highlight w:val="white"/>
        </w:rPr>
        <w:t>EuroAmericana</w:t>
      </w:r>
      <w:proofErr w:type="spellEnd"/>
      <w:r>
        <w:rPr>
          <w:rFonts w:ascii="Times New Roman" w:eastAsia="Times New Roman" w:hAnsi="Times New Roman" w:cs="Times New Roman"/>
          <w:i/>
          <w:color w:val="222222"/>
          <w:sz w:val="24"/>
          <w:szCs w:val="24"/>
          <w:highlight w:val="white"/>
        </w:rPr>
        <w:t xml:space="preserve"> de Ciencias del Deporte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w:t>
      </w:r>
      <w:r>
        <w:rPr>
          <w:rFonts w:ascii="Times New Roman" w:eastAsia="Times New Roman" w:hAnsi="Times New Roman" w:cs="Times New Roman"/>
          <w:color w:val="222222"/>
          <w:sz w:val="24"/>
          <w:szCs w:val="24"/>
          <w:highlight w:val="white"/>
        </w:rPr>
        <w:t xml:space="preserve">, 21. </w:t>
      </w:r>
      <w:hyperlink r:id="rId41">
        <w:r>
          <w:rPr>
            <w:rFonts w:ascii="Times New Roman" w:eastAsia="Times New Roman" w:hAnsi="Times New Roman" w:cs="Times New Roman"/>
            <w:color w:val="1155CC"/>
            <w:sz w:val="24"/>
            <w:szCs w:val="24"/>
            <w:highlight w:val="white"/>
            <w:u w:val="single"/>
          </w:rPr>
          <w:t>https://doi.org/10.6018/sportk.485921</w:t>
        </w:r>
      </w:hyperlink>
      <w:r>
        <w:rPr>
          <w:rFonts w:ascii="Times New Roman" w:eastAsia="Times New Roman" w:hAnsi="Times New Roman" w:cs="Times New Roman"/>
          <w:color w:val="222222"/>
          <w:sz w:val="24"/>
          <w:szCs w:val="24"/>
          <w:highlight w:val="white"/>
        </w:rPr>
        <w:t xml:space="preserve"> </w:t>
      </w:r>
    </w:p>
    <w:p w14:paraId="795D9EAC" w14:textId="77777777" w:rsidR="006331E1" w:rsidRPr="00093EB6" w:rsidRDefault="006331E1" w:rsidP="006331E1">
      <w:pPr>
        <w:spacing w:after="10pt" w:line="18pt" w:lineRule="auto"/>
        <w:ind w:start="36pt"/>
        <w:jc w:val="both"/>
        <w:rPr>
          <w:rFonts w:ascii="Times New Roman" w:eastAsia="Times New Roman" w:hAnsi="Times New Roman" w:cs="Times New Roman"/>
          <w:sz w:val="24"/>
          <w:szCs w:val="24"/>
          <w:lang w:val="en-US"/>
        </w:rPr>
      </w:pPr>
      <w:r w:rsidRPr="005024A9">
        <w:rPr>
          <w:rFonts w:ascii="Times New Roman" w:eastAsia="Times New Roman" w:hAnsi="Times New Roman" w:cs="Times New Roman"/>
          <w:sz w:val="24"/>
          <w:szCs w:val="24"/>
          <w:highlight w:val="white"/>
        </w:rPr>
        <w:t xml:space="preserve">Goncalves, M., </w:t>
      </w:r>
      <w:proofErr w:type="spellStart"/>
      <w:r w:rsidRPr="005024A9">
        <w:rPr>
          <w:rFonts w:ascii="Times New Roman" w:eastAsia="Times New Roman" w:hAnsi="Times New Roman" w:cs="Times New Roman"/>
          <w:sz w:val="24"/>
          <w:szCs w:val="24"/>
          <w:highlight w:val="white"/>
        </w:rPr>
        <w:t>Hu</w:t>
      </w:r>
      <w:proofErr w:type="spellEnd"/>
      <w:r w:rsidRPr="005024A9">
        <w:rPr>
          <w:rFonts w:ascii="Times New Roman" w:eastAsia="Times New Roman" w:hAnsi="Times New Roman" w:cs="Times New Roman"/>
          <w:sz w:val="24"/>
          <w:szCs w:val="24"/>
          <w:highlight w:val="white"/>
        </w:rPr>
        <w:t xml:space="preserve">, Y., Aliagas, I. &amp; Cerdá, L. (2024). </w:t>
      </w:r>
      <w:r w:rsidRPr="00093EB6">
        <w:rPr>
          <w:rFonts w:ascii="Times New Roman" w:eastAsia="Times New Roman" w:hAnsi="Times New Roman" w:cs="Times New Roman"/>
          <w:sz w:val="24"/>
          <w:szCs w:val="24"/>
          <w:highlight w:val="white"/>
          <w:lang w:val="en-US"/>
        </w:rPr>
        <w:t xml:space="preserve">Neuromarketing algorithms’ consumer privacy and ethical considerations: challenges and opportunities. </w:t>
      </w:r>
      <w:r w:rsidRPr="00093EB6">
        <w:rPr>
          <w:rFonts w:ascii="Times New Roman" w:eastAsia="Times New Roman" w:hAnsi="Times New Roman" w:cs="Times New Roman"/>
          <w:i/>
          <w:sz w:val="24"/>
          <w:szCs w:val="24"/>
          <w:highlight w:val="white"/>
          <w:lang w:val="en-US"/>
        </w:rPr>
        <w:t>Cogent Business and Management.</w:t>
      </w:r>
      <w:r w:rsidRPr="00093EB6">
        <w:rPr>
          <w:rFonts w:ascii="Times New Roman" w:eastAsia="Times New Roman" w:hAnsi="Times New Roman" w:cs="Times New Roman"/>
          <w:sz w:val="24"/>
          <w:szCs w:val="24"/>
          <w:highlight w:val="white"/>
          <w:lang w:val="en-US"/>
        </w:rPr>
        <w:t xml:space="preserve"> 11(1). </w:t>
      </w:r>
      <w:hyperlink r:id="rId42">
        <w:r w:rsidRPr="00093EB6">
          <w:rPr>
            <w:rFonts w:ascii="Times New Roman" w:eastAsia="Times New Roman" w:hAnsi="Times New Roman" w:cs="Times New Roman"/>
            <w:color w:val="1155CC"/>
            <w:sz w:val="24"/>
            <w:szCs w:val="24"/>
            <w:highlight w:val="white"/>
            <w:u w:val="single"/>
            <w:lang w:val="en-US"/>
          </w:rPr>
          <w:t>https://doi.org/10.1080/23311975.2024.2333063</w:t>
        </w:r>
      </w:hyperlink>
    </w:p>
    <w:p w14:paraId="179D1816" w14:textId="77777777" w:rsidR="006331E1" w:rsidRPr="00093EB6" w:rsidRDefault="006331E1" w:rsidP="006331E1">
      <w:pPr>
        <w:spacing w:after="10pt" w:line="18pt" w:lineRule="auto"/>
        <w:ind w:start="36pt"/>
        <w:jc w:val="both"/>
        <w:rPr>
          <w:rFonts w:ascii="Times New Roman" w:eastAsia="Times New Roman" w:hAnsi="Times New Roman" w:cs="Times New Roman"/>
          <w:color w:val="05103E"/>
          <w:sz w:val="24"/>
          <w:szCs w:val="24"/>
          <w:lang w:val="en-US"/>
        </w:rPr>
      </w:pPr>
      <w:r w:rsidRPr="00093EB6">
        <w:rPr>
          <w:rFonts w:ascii="Times New Roman" w:eastAsia="Times New Roman" w:hAnsi="Times New Roman" w:cs="Times New Roman"/>
          <w:sz w:val="24"/>
          <w:szCs w:val="24"/>
          <w:lang w:val="en-US"/>
        </w:rPr>
        <w:t xml:space="preserve">González, M., </w:t>
      </w:r>
      <w:proofErr w:type="spellStart"/>
      <w:r w:rsidRPr="00093EB6">
        <w:rPr>
          <w:rFonts w:ascii="Times New Roman" w:eastAsia="Times New Roman" w:hAnsi="Times New Roman" w:cs="Times New Roman"/>
          <w:sz w:val="24"/>
          <w:szCs w:val="24"/>
          <w:lang w:val="en-US"/>
        </w:rPr>
        <w:t>Baraybar</w:t>
      </w:r>
      <w:proofErr w:type="spellEnd"/>
      <w:r w:rsidRPr="00093EB6">
        <w:rPr>
          <w:rFonts w:ascii="Times New Roman" w:eastAsia="Times New Roman" w:hAnsi="Times New Roman" w:cs="Times New Roman"/>
          <w:sz w:val="24"/>
          <w:szCs w:val="24"/>
          <w:lang w:val="en-US"/>
        </w:rPr>
        <w:t xml:space="preserve">, A., &amp; Fernández, M. (2020). The Application of Neuromarketing Techniques in the Spanish Advertising Industry: Weaknesses and Opportunities for Development. </w:t>
      </w:r>
      <w:r w:rsidRPr="00093EB6">
        <w:rPr>
          <w:rFonts w:ascii="Times New Roman" w:eastAsia="Times New Roman" w:hAnsi="Times New Roman" w:cs="Times New Roman"/>
          <w:i/>
          <w:sz w:val="24"/>
          <w:szCs w:val="24"/>
          <w:lang w:val="en-US"/>
        </w:rPr>
        <w:t>Frontiers In Psychology</w:t>
      </w:r>
      <w:r w:rsidRPr="00093EB6">
        <w:rPr>
          <w:rFonts w:ascii="Times New Roman" w:eastAsia="Times New Roman" w:hAnsi="Times New Roman" w:cs="Times New Roman"/>
          <w:sz w:val="24"/>
          <w:szCs w:val="24"/>
          <w:lang w:val="en-US"/>
        </w:rPr>
        <w:t xml:space="preserve">, 11(1). </w:t>
      </w:r>
      <w:proofErr w:type="spellStart"/>
      <w:r w:rsidRPr="00093EB6">
        <w:rPr>
          <w:rFonts w:ascii="Times New Roman" w:eastAsia="Times New Roman" w:hAnsi="Times New Roman" w:cs="Times New Roman"/>
          <w:sz w:val="24"/>
          <w:szCs w:val="24"/>
          <w:lang w:val="en-US"/>
        </w:rPr>
        <w:t>Artículo</w:t>
      </w:r>
      <w:proofErr w:type="spellEnd"/>
      <w:r w:rsidRPr="00093EB6">
        <w:rPr>
          <w:rFonts w:ascii="Times New Roman" w:eastAsia="Times New Roman" w:hAnsi="Times New Roman" w:cs="Times New Roman"/>
          <w:sz w:val="24"/>
          <w:szCs w:val="24"/>
          <w:lang w:val="en-US"/>
        </w:rPr>
        <w:t xml:space="preserve"> 2175. </w:t>
      </w:r>
      <w:hyperlink r:id="rId43">
        <w:r w:rsidRPr="00093EB6">
          <w:rPr>
            <w:rFonts w:ascii="Times New Roman" w:eastAsia="Times New Roman" w:hAnsi="Times New Roman" w:cs="Times New Roman"/>
            <w:color w:val="1155CC"/>
            <w:sz w:val="24"/>
            <w:szCs w:val="24"/>
            <w:u w:val="single"/>
            <w:lang w:val="en-US"/>
          </w:rPr>
          <w:t>https://doi.org/10.3389/fpsyg.2020.02175</w:t>
        </w:r>
      </w:hyperlink>
      <w:r w:rsidRPr="00093EB6">
        <w:rPr>
          <w:rFonts w:ascii="Times New Roman" w:eastAsia="Times New Roman" w:hAnsi="Times New Roman" w:cs="Times New Roman"/>
          <w:color w:val="05103E"/>
          <w:sz w:val="24"/>
          <w:szCs w:val="24"/>
          <w:lang w:val="en-US"/>
        </w:rPr>
        <w:t xml:space="preserve"> </w:t>
      </w:r>
    </w:p>
    <w:p w14:paraId="00B1B12E" w14:textId="77777777" w:rsidR="006331E1" w:rsidRPr="00093EB6" w:rsidRDefault="006331E1" w:rsidP="006331E1">
      <w:pPr>
        <w:spacing w:after="10pt" w:line="18pt" w:lineRule="auto"/>
        <w:ind w:start="36pt"/>
        <w:jc w:val="both"/>
        <w:rPr>
          <w:rFonts w:ascii="Times New Roman" w:eastAsia="Times New Roman" w:hAnsi="Times New Roman" w:cs="Times New Roman"/>
          <w:color w:val="05103E"/>
          <w:sz w:val="24"/>
          <w:szCs w:val="24"/>
          <w:lang w:val="en-US"/>
        </w:rPr>
      </w:pPr>
      <w:proofErr w:type="spellStart"/>
      <w:r w:rsidRPr="00093EB6">
        <w:rPr>
          <w:rFonts w:ascii="Times New Roman" w:eastAsia="Times New Roman" w:hAnsi="Times New Roman" w:cs="Times New Roman"/>
          <w:color w:val="222222"/>
          <w:sz w:val="24"/>
          <w:szCs w:val="24"/>
          <w:highlight w:val="white"/>
          <w:lang w:val="en-US"/>
        </w:rPr>
        <w:t>Herrando</w:t>
      </w:r>
      <w:proofErr w:type="spellEnd"/>
      <w:r w:rsidRPr="00093EB6">
        <w:rPr>
          <w:rFonts w:ascii="Times New Roman" w:eastAsia="Times New Roman" w:hAnsi="Times New Roman" w:cs="Times New Roman"/>
          <w:color w:val="222222"/>
          <w:sz w:val="24"/>
          <w:szCs w:val="24"/>
          <w:highlight w:val="white"/>
          <w:lang w:val="en-US"/>
        </w:rPr>
        <w:t xml:space="preserve">, C., Jiménez-Martínez, J., Martín-De Hoyos, M.J., Asakawa, K. and Yana, K. (2023), "Emotional responses in online social interactions: the mediating role of flow", Asia Pacific Journal of Marketing and Logistics, Vol. 35 No. 7, pp. 1599-1617. </w:t>
      </w:r>
      <w:hyperlink r:id="rId44">
        <w:r w:rsidRPr="00093EB6">
          <w:rPr>
            <w:rFonts w:ascii="Times New Roman" w:eastAsia="Times New Roman" w:hAnsi="Times New Roman" w:cs="Times New Roman"/>
            <w:color w:val="1155CC"/>
            <w:sz w:val="24"/>
            <w:szCs w:val="24"/>
            <w:highlight w:val="white"/>
            <w:u w:val="single"/>
            <w:lang w:val="en-US"/>
          </w:rPr>
          <w:t>https://doi.org/10.1108/APJML-02-2022-0091</w:t>
        </w:r>
      </w:hyperlink>
    </w:p>
    <w:p w14:paraId="3BE6D321" w14:textId="77777777" w:rsidR="006331E1" w:rsidRPr="00093EB6" w:rsidRDefault="006331E1" w:rsidP="006331E1">
      <w:pPr>
        <w:spacing w:after="10pt" w:line="18pt" w:lineRule="auto"/>
        <w:ind w:start="36pt"/>
        <w:jc w:val="both"/>
        <w:rPr>
          <w:rFonts w:ascii="Times New Roman" w:eastAsia="Times New Roman" w:hAnsi="Times New Roman" w:cs="Times New Roman"/>
          <w:color w:val="05103E"/>
          <w:sz w:val="24"/>
          <w:szCs w:val="24"/>
          <w:lang w:val="en-US"/>
        </w:rPr>
      </w:pPr>
      <w:r w:rsidRPr="00093EB6">
        <w:rPr>
          <w:rFonts w:ascii="Times New Roman" w:eastAsia="Times New Roman" w:hAnsi="Times New Roman" w:cs="Times New Roman"/>
          <w:sz w:val="24"/>
          <w:szCs w:val="24"/>
          <w:highlight w:val="white"/>
          <w:lang w:val="en-US"/>
        </w:rPr>
        <w:t xml:space="preserve">Hsu, L., Chen, Y.-J. (2020). Neuromarketing, subliminal advertising, and hotel selection: An EEG study. </w:t>
      </w:r>
      <w:r w:rsidRPr="00093EB6">
        <w:rPr>
          <w:rFonts w:ascii="Times New Roman" w:eastAsia="Times New Roman" w:hAnsi="Times New Roman" w:cs="Times New Roman"/>
          <w:i/>
          <w:sz w:val="24"/>
          <w:szCs w:val="24"/>
          <w:highlight w:val="white"/>
          <w:lang w:val="en-US"/>
        </w:rPr>
        <w:t>Australasian Marketing Journal (AMJ)</w:t>
      </w:r>
      <w:r w:rsidRPr="00093EB6">
        <w:rPr>
          <w:rFonts w:ascii="Times New Roman" w:eastAsia="Times New Roman" w:hAnsi="Times New Roman" w:cs="Times New Roman"/>
          <w:sz w:val="24"/>
          <w:szCs w:val="24"/>
          <w:highlight w:val="white"/>
          <w:lang w:val="en-US"/>
        </w:rPr>
        <w:t>. 28(4), 200-208.</w:t>
      </w:r>
      <w:r w:rsidRPr="00093EB6">
        <w:rPr>
          <w:rFonts w:ascii="Times New Roman" w:eastAsia="Times New Roman" w:hAnsi="Times New Roman" w:cs="Times New Roman"/>
          <w:color w:val="05103E"/>
          <w:sz w:val="24"/>
          <w:szCs w:val="24"/>
          <w:highlight w:val="white"/>
          <w:lang w:val="en-US"/>
        </w:rPr>
        <w:t xml:space="preserve"> </w:t>
      </w:r>
      <w:hyperlink r:id="rId45">
        <w:r w:rsidRPr="00093EB6">
          <w:rPr>
            <w:rFonts w:ascii="Times New Roman" w:eastAsia="Times New Roman" w:hAnsi="Times New Roman" w:cs="Times New Roman"/>
            <w:color w:val="1155CC"/>
            <w:sz w:val="24"/>
            <w:szCs w:val="24"/>
            <w:highlight w:val="white"/>
            <w:u w:val="single"/>
            <w:lang w:val="en-US"/>
          </w:rPr>
          <w:t>https://doi.org/10.1016/j.ausmj.2020.04.009</w:t>
        </w:r>
      </w:hyperlink>
    </w:p>
    <w:p w14:paraId="213E7348" w14:textId="77777777" w:rsidR="006331E1" w:rsidRPr="00093EB6" w:rsidRDefault="006331E1" w:rsidP="006331E1">
      <w:pPr>
        <w:spacing w:after="10pt" w:line="18pt" w:lineRule="auto"/>
        <w:ind w:start="36pt"/>
        <w:jc w:val="both"/>
        <w:rPr>
          <w:rFonts w:ascii="Times New Roman" w:eastAsia="Times New Roman" w:hAnsi="Times New Roman" w:cs="Times New Roman"/>
          <w:sz w:val="24"/>
          <w:szCs w:val="24"/>
          <w:highlight w:val="white"/>
          <w:lang w:val="en-US"/>
        </w:rPr>
      </w:pPr>
      <w:r w:rsidRPr="00093EB6">
        <w:rPr>
          <w:rFonts w:ascii="Times New Roman" w:eastAsia="Times New Roman" w:hAnsi="Times New Roman" w:cs="Times New Roman"/>
          <w:sz w:val="24"/>
          <w:szCs w:val="24"/>
          <w:highlight w:val="white"/>
          <w:lang w:val="en-US"/>
        </w:rPr>
        <w:t xml:space="preserve">Ismajli, A., Ziberi, B. &amp; </w:t>
      </w:r>
      <w:proofErr w:type="spellStart"/>
      <w:r w:rsidRPr="00093EB6">
        <w:rPr>
          <w:rFonts w:ascii="Times New Roman" w:eastAsia="Times New Roman" w:hAnsi="Times New Roman" w:cs="Times New Roman"/>
          <w:sz w:val="24"/>
          <w:szCs w:val="24"/>
          <w:highlight w:val="white"/>
          <w:lang w:val="en-US"/>
        </w:rPr>
        <w:t>Metushi</w:t>
      </w:r>
      <w:proofErr w:type="spellEnd"/>
      <w:r w:rsidRPr="00093EB6">
        <w:rPr>
          <w:rFonts w:ascii="Times New Roman" w:eastAsia="Times New Roman" w:hAnsi="Times New Roman" w:cs="Times New Roman"/>
          <w:sz w:val="24"/>
          <w:szCs w:val="24"/>
          <w:highlight w:val="white"/>
          <w:lang w:val="en-US"/>
        </w:rPr>
        <w:t xml:space="preserve">, A. (2022). The impact of neuromarketing on consumer </w:t>
      </w:r>
      <w:proofErr w:type="spellStart"/>
      <w:r w:rsidRPr="00093EB6">
        <w:rPr>
          <w:rFonts w:ascii="Times New Roman" w:eastAsia="Times New Roman" w:hAnsi="Times New Roman" w:cs="Times New Roman"/>
          <w:sz w:val="24"/>
          <w:szCs w:val="24"/>
          <w:highlight w:val="white"/>
          <w:lang w:val="en-US"/>
        </w:rPr>
        <w:t>behaviour</w:t>
      </w:r>
      <w:proofErr w:type="spellEnd"/>
      <w:r w:rsidRPr="00093EB6">
        <w:rPr>
          <w:rFonts w:ascii="Times New Roman" w:eastAsia="Times New Roman" w:hAnsi="Times New Roman" w:cs="Times New Roman"/>
          <w:sz w:val="24"/>
          <w:szCs w:val="24"/>
          <w:highlight w:val="white"/>
          <w:lang w:val="en-US"/>
        </w:rPr>
        <w:t xml:space="preserve">. </w:t>
      </w:r>
      <w:r w:rsidRPr="00093EB6">
        <w:rPr>
          <w:rFonts w:ascii="Times New Roman" w:eastAsia="Times New Roman" w:hAnsi="Times New Roman" w:cs="Times New Roman"/>
          <w:i/>
          <w:sz w:val="24"/>
          <w:szCs w:val="24"/>
          <w:highlight w:val="white"/>
          <w:lang w:val="en-US"/>
        </w:rPr>
        <w:t>Corporate Governance and Organizational Behavior Review.</w:t>
      </w:r>
      <w:r w:rsidRPr="00093EB6">
        <w:rPr>
          <w:rFonts w:ascii="Times New Roman" w:eastAsia="Times New Roman" w:hAnsi="Times New Roman" w:cs="Times New Roman"/>
          <w:sz w:val="24"/>
          <w:szCs w:val="24"/>
          <w:highlight w:val="white"/>
          <w:lang w:val="en-US"/>
        </w:rPr>
        <w:t xml:space="preserve"> 6(2), 95-103. </w:t>
      </w:r>
      <w:hyperlink r:id="rId46">
        <w:r w:rsidRPr="00093EB6">
          <w:rPr>
            <w:rFonts w:ascii="Times New Roman" w:eastAsia="Times New Roman" w:hAnsi="Times New Roman" w:cs="Times New Roman"/>
            <w:color w:val="1155CC"/>
            <w:sz w:val="24"/>
            <w:szCs w:val="24"/>
            <w:highlight w:val="white"/>
            <w:u w:val="single"/>
            <w:lang w:val="en-US"/>
          </w:rPr>
          <w:t>https://doi.org/10.22495/cgobrv6i2p9</w:t>
        </w:r>
      </w:hyperlink>
    </w:p>
    <w:p w14:paraId="73D94B5F" w14:textId="77777777" w:rsidR="006331E1" w:rsidRPr="00093EB6" w:rsidRDefault="006331E1" w:rsidP="006331E1">
      <w:pPr>
        <w:spacing w:line="18pt" w:lineRule="auto"/>
        <w:ind w:start="36pt"/>
        <w:jc w:val="both"/>
        <w:rPr>
          <w:rFonts w:ascii="Times New Roman" w:eastAsia="Times New Roman" w:hAnsi="Times New Roman" w:cs="Times New Roman"/>
          <w:sz w:val="24"/>
          <w:szCs w:val="24"/>
          <w:highlight w:val="white"/>
          <w:lang w:val="en-US"/>
        </w:rPr>
      </w:pPr>
      <w:r w:rsidRPr="00093EB6">
        <w:rPr>
          <w:rFonts w:ascii="Times New Roman" w:eastAsia="Times New Roman" w:hAnsi="Times New Roman" w:cs="Times New Roman"/>
          <w:color w:val="222222"/>
          <w:sz w:val="24"/>
          <w:szCs w:val="24"/>
          <w:highlight w:val="white"/>
          <w:lang w:val="en-US"/>
        </w:rPr>
        <w:t>Juárez-</w:t>
      </w:r>
      <w:proofErr w:type="spellStart"/>
      <w:r w:rsidRPr="00093EB6">
        <w:rPr>
          <w:rFonts w:ascii="Times New Roman" w:eastAsia="Times New Roman" w:hAnsi="Times New Roman" w:cs="Times New Roman"/>
          <w:color w:val="222222"/>
          <w:sz w:val="24"/>
          <w:szCs w:val="24"/>
          <w:highlight w:val="white"/>
          <w:lang w:val="en-US"/>
        </w:rPr>
        <w:t>Varón</w:t>
      </w:r>
      <w:proofErr w:type="spellEnd"/>
      <w:r w:rsidRPr="00093EB6">
        <w:rPr>
          <w:rFonts w:ascii="Times New Roman" w:eastAsia="Times New Roman" w:hAnsi="Times New Roman" w:cs="Times New Roman"/>
          <w:color w:val="222222"/>
          <w:sz w:val="24"/>
          <w:szCs w:val="24"/>
          <w:highlight w:val="white"/>
          <w:lang w:val="en-US"/>
        </w:rPr>
        <w:t xml:space="preserve">, D., </w:t>
      </w:r>
      <w:proofErr w:type="spellStart"/>
      <w:r w:rsidRPr="00093EB6">
        <w:rPr>
          <w:rFonts w:ascii="Times New Roman" w:eastAsia="Times New Roman" w:hAnsi="Times New Roman" w:cs="Times New Roman"/>
          <w:color w:val="222222"/>
          <w:sz w:val="24"/>
          <w:szCs w:val="24"/>
          <w:highlight w:val="white"/>
          <w:lang w:val="en-US"/>
        </w:rPr>
        <w:t>Mengual-Recuerda</w:t>
      </w:r>
      <w:proofErr w:type="spellEnd"/>
      <w:r w:rsidRPr="00093EB6">
        <w:rPr>
          <w:rFonts w:ascii="Times New Roman" w:eastAsia="Times New Roman" w:hAnsi="Times New Roman" w:cs="Times New Roman"/>
          <w:color w:val="222222"/>
          <w:sz w:val="24"/>
          <w:szCs w:val="24"/>
          <w:highlight w:val="white"/>
          <w:lang w:val="en-US"/>
        </w:rPr>
        <w:t xml:space="preserve">, A., Capatina, A., &amp; </w:t>
      </w:r>
      <w:proofErr w:type="spellStart"/>
      <w:r w:rsidRPr="00093EB6">
        <w:rPr>
          <w:rFonts w:ascii="Times New Roman" w:eastAsia="Times New Roman" w:hAnsi="Times New Roman" w:cs="Times New Roman"/>
          <w:color w:val="222222"/>
          <w:sz w:val="24"/>
          <w:szCs w:val="24"/>
          <w:highlight w:val="white"/>
          <w:lang w:val="en-US"/>
        </w:rPr>
        <w:t>Cansado</w:t>
      </w:r>
      <w:proofErr w:type="spellEnd"/>
      <w:r w:rsidRPr="00093EB6">
        <w:rPr>
          <w:rFonts w:ascii="Times New Roman" w:eastAsia="Times New Roman" w:hAnsi="Times New Roman" w:cs="Times New Roman"/>
          <w:color w:val="222222"/>
          <w:sz w:val="24"/>
          <w:szCs w:val="24"/>
          <w:highlight w:val="white"/>
          <w:lang w:val="en-US"/>
        </w:rPr>
        <w:t xml:space="preserve">, M. N. (2023). Footwear consumer behavior: The influence of stimuli on emotions and decision </w:t>
      </w:r>
      <w:r w:rsidRPr="00093EB6">
        <w:rPr>
          <w:rFonts w:ascii="Times New Roman" w:eastAsia="Times New Roman" w:hAnsi="Times New Roman" w:cs="Times New Roman"/>
          <w:color w:val="222222"/>
          <w:sz w:val="24"/>
          <w:szCs w:val="24"/>
          <w:highlight w:val="white"/>
          <w:lang w:val="en-US"/>
        </w:rPr>
        <w:lastRenderedPageBreak/>
        <w:t xml:space="preserve">making. </w:t>
      </w:r>
      <w:r w:rsidRPr="00093EB6">
        <w:rPr>
          <w:rFonts w:ascii="Times New Roman" w:eastAsia="Times New Roman" w:hAnsi="Times New Roman" w:cs="Times New Roman"/>
          <w:i/>
          <w:color w:val="222222"/>
          <w:sz w:val="24"/>
          <w:szCs w:val="24"/>
          <w:highlight w:val="white"/>
          <w:lang w:val="en-US"/>
        </w:rPr>
        <w:t>Journal Of Business Research</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164</w:t>
      </w:r>
      <w:r w:rsidRPr="00093EB6">
        <w:rPr>
          <w:rFonts w:ascii="Times New Roman" w:eastAsia="Times New Roman" w:hAnsi="Times New Roman" w:cs="Times New Roman"/>
          <w:color w:val="222222"/>
          <w:sz w:val="24"/>
          <w:szCs w:val="24"/>
          <w:highlight w:val="white"/>
          <w:lang w:val="en-US"/>
        </w:rPr>
        <w:t xml:space="preserve">, 114016. </w:t>
      </w:r>
      <w:hyperlink r:id="rId47">
        <w:r w:rsidRPr="00093EB6">
          <w:rPr>
            <w:rFonts w:ascii="Times New Roman" w:eastAsia="Times New Roman" w:hAnsi="Times New Roman" w:cs="Times New Roman"/>
            <w:color w:val="1155CC"/>
            <w:sz w:val="24"/>
            <w:szCs w:val="24"/>
            <w:highlight w:val="white"/>
            <w:u w:val="single"/>
            <w:lang w:val="en-US"/>
          </w:rPr>
          <w:t>https://doi.org/10.1016/j.jbusres.2023.114016</w:t>
        </w:r>
      </w:hyperlink>
      <w:r w:rsidRPr="00093EB6">
        <w:rPr>
          <w:rFonts w:ascii="Times New Roman" w:eastAsia="Times New Roman" w:hAnsi="Times New Roman" w:cs="Times New Roman"/>
          <w:color w:val="222222"/>
          <w:sz w:val="24"/>
          <w:szCs w:val="24"/>
          <w:highlight w:val="white"/>
          <w:lang w:val="en-US"/>
        </w:rPr>
        <w:t xml:space="preserve"> </w:t>
      </w:r>
    </w:p>
    <w:p w14:paraId="722D80E2" w14:textId="77777777" w:rsidR="006331E1" w:rsidRPr="00093EB6" w:rsidRDefault="006331E1" w:rsidP="006331E1">
      <w:pPr>
        <w:spacing w:line="18pt" w:lineRule="auto"/>
        <w:ind w:start="36pt"/>
        <w:jc w:val="both"/>
        <w:rPr>
          <w:rFonts w:ascii="Times New Roman" w:eastAsia="Times New Roman" w:hAnsi="Times New Roman" w:cs="Times New Roman"/>
          <w:color w:val="222222"/>
          <w:sz w:val="24"/>
          <w:szCs w:val="24"/>
          <w:highlight w:val="white"/>
          <w:lang w:val="en-US"/>
        </w:rPr>
      </w:pPr>
      <w:proofErr w:type="spellStart"/>
      <w:r w:rsidRPr="00093EB6">
        <w:rPr>
          <w:rFonts w:ascii="Times New Roman" w:eastAsia="Times New Roman" w:hAnsi="Times New Roman" w:cs="Times New Roman"/>
          <w:color w:val="222222"/>
          <w:sz w:val="24"/>
          <w:szCs w:val="24"/>
          <w:highlight w:val="white"/>
          <w:lang w:val="en-US"/>
        </w:rPr>
        <w:t>Kakaria</w:t>
      </w:r>
      <w:proofErr w:type="spellEnd"/>
      <w:r w:rsidRPr="00093EB6">
        <w:rPr>
          <w:rFonts w:ascii="Times New Roman" w:eastAsia="Times New Roman" w:hAnsi="Times New Roman" w:cs="Times New Roman"/>
          <w:color w:val="222222"/>
          <w:sz w:val="24"/>
          <w:szCs w:val="24"/>
          <w:highlight w:val="white"/>
          <w:lang w:val="en-US"/>
        </w:rPr>
        <w:t xml:space="preserve">, S., Saffari, F., Ramsøy, T. Z., &amp; </w:t>
      </w:r>
      <w:proofErr w:type="spellStart"/>
      <w:r w:rsidRPr="00093EB6">
        <w:rPr>
          <w:rFonts w:ascii="Times New Roman" w:eastAsia="Times New Roman" w:hAnsi="Times New Roman" w:cs="Times New Roman"/>
          <w:color w:val="222222"/>
          <w:sz w:val="24"/>
          <w:szCs w:val="24"/>
          <w:highlight w:val="white"/>
          <w:lang w:val="en-US"/>
        </w:rPr>
        <w:t>Bigné</w:t>
      </w:r>
      <w:proofErr w:type="spellEnd"/>
      <w:r w:rsidRPr="00093EB6">
        <w:rPr>
          <w:rFonts w:ascii="Times New Roman" w:eastAsia="Times New Roman" w:hAnsi="Times New Roman" w:cs="Times New Roman"/>
          <w:color w:val="222222"/>
          <w:sz w:val="24"/>
          <w:szCs w:val="24"/>
          <w:highlight w:val="white"/>
          <w:lang w:val="en-US"/>
        </w:rPr>
        <w:t xml:space="preserve">, E. (2023). Cognitive load during planned and unplanned virtual shopping: Evidence from a neurophysiological perspective. </w:t>
      </w:r>
      <w:r w:rsidRPr="00093EB6">
        <w:rPr>
          <w:rFonts w:ascii="Times New Roman" w:eastAsia="Times New Roman" w:hAnsi="Times New Roman" w:cs="Times New Roman"/>
          <w:i/>
          <w:color w:val="222222"/>
          <w:sz w:val="24"/>
          <w:szCs w:val="24"/>
          <w:highlight w:val="white"/>
          <w:lang w:val="en-US"/>
        </w:rPr>
        <w:t>International Journal Of Information Management</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72</w:t>
      </w:r>
      <w:r w:rsidRPr="00093EB6">
        <w:rPr>
          <w:rFonts w:ascii="Times New Roman" w:eastAsia="Times New Roman" w:hAnsi="Times New Roman" w:cs="Times New Roman"/>
          <w:color w:val="222222"/>
          <w:sz w:val="24"/>
          <w:szCs w:val="24"/>
          <w:highlight w:val="white"/>
          <w:lang w:val="en-US"/>
        </w:rPr>
        <w:t xml:space="preserve">, 102667. </w:t>
      </w:r>
      <w:hyperlink r:id="rId48">
        <w:r w:rsidRPr="00093EB6">
          <w:rPr>
            <w:rFonts w:ascii="Times New Roman" w:eastAsia="Times New Roman" w:hAnsi="Times New Roman" w:cs="Times New Roman"/>
            <w:color w:val="1155CC"/>
            <w:sz w:val="24"/>
            <w:szCs w:val="24"/>
            <w:highlight w:val="white"/>
            <w:u w:val="single"/>
            <w:lang w:val="en-US"/>
          </w:rPr>
          <w:t>https://doi.org/10.1016/j.ijinfomgt.2023.102667</w:t>
        </w:r>
      </w:hyperlink>
      <w:r w:rsidRPr="00093EB6">
        <w:rPr>
          <w:rFonts w:ascii="Times New Roman" w:eastAsia="Times New Roman" w:hAnsi="Times New Roman" w:cs="Times New Roman"/>
          <w:color w:val="222222"/>
          <w:sz w:val="24"/>
          <w:szCs w:val="24"/>
          <w:highlight w:val="white"/>
          <w:lang w:val="en-US"/>
        </w:rPr>
        <w:t xml:space="preserve"> </w:t>
      </w:r>
    </w:p>
    <w:p w14:paraId="56B6443A" w14:textId="77777777" w:rsidR="006331E1" w:rsidRPr="00093EB6"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u w:val="single"/>
          <w:lang w:val="en-US"/>
        </w:rPr>
      </w:pPr>
      <w:hyperlink r:id="rId49">
        <w:r w:rsidRPr="00093EB6">
          <w:rPr>
            <w:rFonts w:ascii="Times New Roman" w:eastAsia="Times New Roman" w:hAnsi="Times New Roman" w:cs="Times New Roman"/>
            <w:sz w:val="24"/>
            <w:szCs w:val="24"/>
            <w:highlight w:val="white"/>
            <w:lang w:val="en-US"/>
          </w:rPr>
          <w:t xml:space="preserve">Kromalcas, S., Kraujalienė, L., &amp; Ževžikovas, G. (2024). The influence of personal brand communication on consumers. Business: Theory and Practice, 25(1), 95–107. </w:t>
        </w:r>
      </w:hyperlink>
      <w:hyperlink r:id="rId50">
        <w:r w:rsidRPr="00093EB6">
          <w:rPr>
            <w:rFonts w:ascii="Times New Roman" w:eastAsia="Times New Roman" w:hAnsi="Times New Roman" w:cs="Times New Roman"/>
            <w:color w:val="1155CC"/>
            <w:sz w:val="24"/>
            <w:szCs w:val="24"/>
            <w:highlight w:val="white"/>
            <w:u w:val="single"/>
            <w:lang w:val="en-US"/>
          </w:rPr>
          <w:t>https://doi.org/10.3846/btp.2024.20635</w:t>
        </w:r>
      </w:hyperlink>
    </w:p>
    <w:p w14:paraId="29645517" w14:textId="77777777" w:rsidR="006331E1" w:rsidRPr="00093EB6" w:rsidRDefault="006331E1" w:rsidP="006331E1">
      <w:pPr>
        <w:spacing w:after="10pt" w:line="18pt" w:lineRule="auto"/>
        <w:ind w:start="36pt"/>
        <w:jc w:val="both"/>
        <w:rPr>
          <w:rFonts w:ascii="Times New Roman" w:eastAsia="Times New Roman" w:hAnsi="Times New Roman" w:cs="Times New Roman"/>
          <w:color w:val="333333"/>
          <w:sz w:val="24"/>
          <w:szCs w:val="24"/>
          <w:highlight w:val="white"/>
          <w:lang w:val="en-US"/>
        </w:rPr>
      </w:pPr>
      <w:r w:rsidRPr="00093EB6">
        <w:rPr>
          <w:rFonts w:ascii="Times New Roman" w:eastAsia="Times New Roman" w:hAnsi="Times New Roman" w:cs="Times New Roman"/>
          <w:color w:val="333333"/>
          <w:sz w:val="24"/>
          <w:szCs w:val="24"/>
          <w:highlight w:val="white"/>
          <w:lang w:val="en-US"/>
        </w:rPr>
        <w:t xml:space="preserve">Laeng, B., Takashi, S. &amp; </w:t>
      </w:r>
      <w:proofErr w:type="spellStart"/>
      <w:r w:rsidRPr="00093EB6">
        <w:rPr>
          <w:rFonts w:ascii="Times New Roman" w:eastAsia="Times New Roman" w:hAnsi="Times New Roman" w:cs="Times New Roman"/>
          <w:color w:val="333333"/>
          <w:sz w:val="24"/>
          <w:szCs w:val="24"/>
          <w:highlight w:val="white"/>
          <w:lang w:val="en-US"/>
        </w:rPr>
        <w:t>Aminihajibashi</w:t>
      </w:r>
      <w:proofErr w:type="spellEnd"/>
      <w:r w:rsidRPr="00093EB6">
        <w:rPr>
          <w:rFonts w:ascii="Times New Roman" w:eastAsia="Times New Roman" w:hAnsi="Times New Roman" w:cs="Times New Roman"/>
          <w:color w:val="333333"/>
          <w:sz w:val="24"/>
          <w:szCs w:val="24"/>
          <w:highlight w:val="white"/>
          <w:lang w:val="en-US"/>
        </w:rPr>
        <w:t xml:space="preserve">, S. (2016) Wine labels: an eye-tracking and pupillometry study. </w:t>
      </w:r>
      <w:r w:rsidRPr="00093EB6">
        <w:rPr>
          <w:rFonts w:ascii="Times New Roman" w:eastAsia="Times New Roman" w:hAnsi="Times New Roman" w:cs="Times New Roman"/>
          <w:i/>
          <w:color w:val="333333"/>
          <w:sz w:val="24"/>
          <w:szCs w:val="24"/>
          <w:highlight w:val="white"/>
          <w:lang w:val="en-US"/>
        </w:rPr>
        <w:t>International Journal of Wine Business Research.</w:t>
      </w:r>
      <w:r w:rsidRPr="00093EB6">
        <w:rPr>
          <w:rFonts w:ascii="Times New Roman" w:eastAsia="Times New Roman" w:hAnsi="Times New Roman" w:cs="Times New Roman"/>
          <w:color w:val="333333"/>
          <w:sz w:val="24"/>
          <w:szCs w:val="24"/>
          <w:highlight w:val="white"/>
          <w:lang w:val="en-US"/>
        </w:rPr>
        <w:t xml:space="preserve"> 28 (4). </w:t>
      </w:r>
      <w:hyperlink r:id="rId51">
        <w:r w:rsidRPr="00093EB6">
          <w:rPr>
            <w:rFonts w:ascii="Times New Roman" w:eastAsia="Times New Roman" w:hAnsi="Times New Roman" w:cs="Times New Roman"/>
            <w:color w:val="1155CC"/>
            <w:sz w:val="24"/>
            <w:szCs w:val="24"/>
            <w:highlight w:val="white"/>
            <w:u w:val="single"/>
            <w:lang w:val="en-US"/>
          </w:rPr>
          <w:t>http://doi.org/10.1108/IJWBR-03-2016-0009</w:t>
        </w:r>
      </w:hyperlink>
    </w:p>
    <w:p w14:paraId="09211C0A" w14:textId="77777777" w:rsidR="006331E1" w:rsidRPr="006331E1" w:rsidRDefault="006331E1" w:rsidP="006331E1">
      <w:pPr>
        <w:spacing w:after="10pt" w:line="18pt" w:lineRule="auto"/>
        <w:ind w:start="36pt"/>
        <w:jc w:val="both"/>
        <w:rPr>
          <w:rFonts w:ascii="Times New Roman" w:eastAsia="Times New Roman" w:hAnsi="Times New Roman" w:cs="Times New Roman"/>
          <w:sz w:val="24"/>
          <w:szCs w:val="24"/>
          <w:highlight w:val="white"/>
          <w:lang w:val="pt-BR"/>
        </w:rPr>
      </w:pPr>
      <w:proofErr w:type="spellStart"/>
      <w:r w:rsidRPr="00093EB6">
        <w:rPr>
          <w:rFonts w:ascii="Times New Roman" w:eastAsia="Times New Roman" w:hAnsi="Times New Roman" w:cs="Times New Roman"/>
          <w:sz w:val="24"/>
          <w:szCs w:val="24"/>
          <w:highlight w:val="white"/>
          <w:lang w:val="en-US"/>
        </w:rPr>
        <w:t>Levrini</w:t>
      </w:r>
      <w:proofErr w:type="spellEnd"/>
      <w:r w:rsidRPr="00093EB6">
        <w:rPr>
          <w:rFonts w:ascii="Times New Roman" w:eastAsia="Times New Roman" w:hAnsi="Times New Roman" w:cs="Times New Roman"/>
          <w:sz w:val="24"/>
          <w:szCs w:val="24"/>
          <w:highlight w:val="white"/>
          <w:lang w:val="en-US"/>
        </w:rPr>
        <w:t xml:space="preserve">, R. D., &amp; </w:t>
      </w:r>
      <w:proofErr w:type="spellStart"/>
      <w:r w:rsidRPr="00093EB6">
        <w:rPr>
          <w:rFonts w:ascii="Times New Roman" w:eastAsia="Times New Roman" w:hAnsi="Times New Roman" w:cs="Times New Roman"/>
          <w:sz w:val="24"/>
          <w:szCs w:val="24"/>
          <w:highlight w:val="white"/>
          <w:lang w:val="en-US"/>
        </w:rPr>
        <w:t>Jeffman</w:t>
      </w:r>
      <w:proofErr w:type="spellEnd"/>
      <w:r w:rsidRPr="00093EB6">
        <w:rPr>
          <w:rFonts w:ascii="Times New Roman" w:eastAsia="Times New Roman" w:hAnsi="Times New Roman" w:cs="Times New Roman"/>
          <w:sz w:val="24"/>
          <w:szCs w:val="24"/>
          <w:highlight w:val="white"/>
          <w:lang w:val="en-US"/>
        </w:rPr>
        <w:t xml:space="preserve"> dos Santos, M. (2021). The Influence of Price on Purchase Intentions: Comparative Study between Cognitive, Sensory, and Neurophysiological Experiments. </w:t>
      </w:r>
      <w:r w:rsidRPr="006331E1">
        <w:rPr>
          <w:rFonts w:ascii="Times New Roman" w:eastAsia="Times New Roman" w:hAnsi="Times New Roman" w:cs="Times New Roman"/>
          <w:sz w:val="24"/>
          <w:szCs w:val="24"/>
          <w:highlight w:val="white"/>
          <w:lang w:val="pt-BR"/>
        </w:rPr>
        <w:t xml:space="preserve">11(2), 16. </w:t>
      </w:r>
      <w:hyperlink r:id="rId52">
        <w:r w:rsidRPr="006331E1">
          <w:rPr>
            <w:rFonts w:ascii="Times New Roman" w:eastAsia="Times New Roman" w:hAnsi="Times New Roman" w:cs="Times New Roman"/>
            <w:color w:val="1155CC"/>
            <w:sz w:val="24"/>
            <w:szCs w:val="24"/>
            <w:highlight w:val="white"/>
            <w:u w:val="single"/>
            <w:lang w:val="pt-BR"/>
          </w:rPr>
          <w:t>https://doi.org/10.3390/bs11020016</w:t>
        </w:r>
      </w:hyperlink>
    </w:p>
    <w:p w14:paraId="563D6673" w14:textId="77777777" w:rsidR="006331E1" w:rsidRPr="00093EB6" w:rsidRDefault="006331E1" w:rsidP="006331E1">
      <w:pPr>
        <w:spacing w:after="10pt" w:line="18pt" w:lineRule="auto"/>
        <w:ind w:start="36pt"/>
        <w:jc w:val="both"/>
        <w:rPr>
          <w:rFonts w:ascii="Times New Roman" w:eastAsia="Times New Roman" w:hAnsi="Times New Roman" w:cs="Times New Roman"/>
          <w:sz w:val="24"/>
          <w:szCs w:val="24"/>
          <w:lang w:val="en-US"/>
        </w:rPr>
      </w:pPr>
      <w:r w:rsidRPr="00093EB6">
        <w:rPr>
          <w:rFonts w:ascii="Times New Roman" w:eastAsia="Times New Roman" w:hAnsi="Times New Roman" w:cs="Times New Roman"/>
          <w:sz w:val="24"/>
          <w:szCs w:val="24"/>
          <w:highlight w:val="white"/>
          <w:lang w:val="pt-BR"/>
        </w:rPr>
        <w:t xml:space="preserve">Louro, F. G., &amp; Barboza, R. A. (2024). </w:t>
      </w:r>
      <w:r w:rsidRPr="00093EB6">
        <w:rPr>
          <w:rFonts w:ascii="Times New Roman" w:eastAsia="Times New Roman" w:hAnsi="Times New Roman" w:cs="Times New Roman"/>
          <w:sz w:val="24"/>
          <w:szCs w:val="24"/>
          <w:highlight w:val="white"/>
          <w:lang w:val="en-US"/>
        </w:rPr>
        <w:t xml:space="preserve">Neuromarketing: exploring the unconscious side of consumption. </w:t>
      </w:r>
      <w:r w:rsidRPr="00093EB6">
        <w:rPr>
          <w:rFonts w:ascii="Times New Roman" w:eastAsia="Times New Roman" w:hAnsi="Times New Roman" w:cs="Times New Roman"/>
          <w:i/>
          <w:sz w:val="24"/>
          <w:szCs w:val="24"/>
          <w:highlight w:val="white"/>
          <w:lang w:val="en-US"/>
        </w:rPr>
        <w:t>Brazilian Journal of Marketing</w:t>
      </w:r>
      <w:r w:rsidRPr="00093EB6">
        <w:rPr>
          <w:rFonts w:ascii="Times New Roman" w:eastAsia="Times New Roman" w:hAnsi="Times New Roman" w:cs="Times New Roman"/>
          <w:sz w:val="24"/>
          <w:szCs w:val="24"/>
          <w:highlight w:val="white"/>
          <w:lang w:val="en-US"/>
        </w:rPr>
        <w:t xml:space="preserve">, 23(1), 252-299. </w:t>
      </w:r>
      <w:hyperlink r:id="rId53">
        <w:r w:rsidRPr="00093EB6">
          <w:rPr>
            <w:rFonts w:ascii="Times New Roman" w:eastAsia="Times New Roman" w:hAnsi="Times New Roman" w:cs="Times New Roman"/>
            <w:color w:val="1155CC"/>
            <w:sz w:val="24"/>
            <w:szCs w:val="24"/>
            <w:highlight w:val="white"/>
            <w:u w:val="single"/>
            <w:lang w:val="en-US"/>
          </w:rPr>
          <w:t>https://doi.org/10.5585/remark.v23i1.23541</w:t>
        </w:r>
      </w:hyperlink>
    </w:p>
    <w:p w14:paraId="0C903A2C" w14:textId="77777777" w:rsidR="006331E1" w:rsidRPr="00093EB6"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lang w:val="en-US"/>
        </w:rPr>
      </w:pPr>
      <w:r w:rsidRPr="00093EB6">
        <w:rPr>
          <w:rFonts w:ascii="Times New Roman" w:eastAsia="Times New Roman" w:hAnsi="Times New Roman" w:cs="Times New Roman"/>
          <w:color w:val="222222"/>
          <w:sz w:val="24"/>
          <w:szCs w:val="24"/>
          <w:highlight w:val="white"/>
          <w:lang w:val="en-US"/>
        </w:rPr>
        <w:t xml:space="preserve">Marko, M., &amp; </w:t>
      </w:r>
      <w:proofErr w:type="spellStart"/>
      <w:r w:rsidRPr="00093EB6">
        <w:rPr>
          <w:rFonts w:ascii="Times New Roman" w:eastAsia="Times New Roman" w:hAnsi="Times New Roman" w:cs="Times New Roman"/>
          <w:color w:val="222222"/>
          <w:sz w:val="24"/>
          <w:szCs w:val="24"/>
          <w:highlight w:val="white"/>
          <w:lang w:val="en-US"/>
        </w:rPr>
        <w:t>Kusá</w:t>
      </w:r>
      <w:proofErr w:type="spellEnd"/>
      <w:r w:rsidRPr="00093EB6">
        <w:rPr>
          <w:rFonts w:ascii="Times New Roman" w:eastAsia="Times New Roman" w:hAnsi="Times New Roman" w:cs="Times New Roman"/>
          <w:color w:val="222222"/>
          <w:sz w:val="24"/>
          <w:szCs w:val="24"/>
          <w:highlight w:val="white"/>
          <w:lang w:val="en-US"/>
        </w:rPr>
        <w:t xml:space="preserve">, A. (2023). Greenwashing and the Nature of Education in Relation to Consumer Trust in Fast Fashion Marketing Communication. </w:t>
      </w:r>
      <w:r w:rsidRPr="00093EB6">
        <w:rPr>
          <w:rFonts w:ascii="Times New Roman" w:eastAsia="Times New Roman" w:hAnsi="Times New Roman" w:cs="Times New Roman"/>
          <w:i/>
          <w:color w:val="222222"/>
          <w:sz w:val="24"/>
          <w:szCs w:val="24"/>
          <w:highlight w:val="white"/>
          <w:lang w:val="en-US"/>
        </w:rPr>
        <w:t>Communication Today</w:t>
      </w:r>
      <w:r w:rsidRPr="00093EB6">
        <w:rPr>
          <w:rFonts w:ascii="Times New Roman" w:eastAsia="Times New Roman" w:hAnsi="Times New Roman" w:cs="Times New Roman"/>
          <w:color w:val="222222"/>
          <w:sz w:val="24"/>
          <w:szCs w:val="24"/>
          <w:highlight w:val="white"/>
          <w:lang w:val="en-US"/>
        </w:rPr>
        <w:t xml:space="preserve">, 86-99. </w:t>
      </w:r>
      <w:hyperlink r:id="rId54">
        <w:r w:rsidRPr="00093EB6">
          <w:rPr>
            <w:rFonts w:ascii="Times New Roman" w:eastAsia="Times New Roman" w:hAnsi="Times New Roman" w:cs="Times New Roman"/>
            <w:color w:val="1155CC"/>
            <w:sz w:val="24"/>
            <w:szCs w:val="24"/>
            <w:highlight w:val="white"/>
            <w:u w:val="single"/>
            <w:lang w:val="en-US"/>
          </w:rPr>
          <w:t>https://doi.org/10.34135/communicationtoday.2023.vol.14.no.1.6</w:t>
        </w:r>
      </w:hyperlink>
      <w:r w:rsidRPr="00093EB6">
        <w:rPr>
          <w:rFonts w:ascii="Times New Roman" w:eastAsia="Times New Roman" w:hAnsi="Times New Roman" w:cs="Times New Roman"/>
          <w:color w:val="222222"/>
          <w:sz w:val="24"/>
          <w:szCs w:val="24"/>
          <w:highlight w:val="white"/>
          <w:lang w:val="en-US"/>
        </w:rPr>
        <w:t xml:space="preserve"> </w:t>
      </w:r>
    </w:p>
    <w:p w14:paraId="14146F25" w14:textId="77777777" w:rsidR="006331E1" w:rsidRPr="00093EB6"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lang w:val="en-US"/>
        </w:rPr>
      </w:pPr>
      <w:r w:rsidRPr="00093EB6">
        <w:rPr>
          <w:rFonts w:ascii="Times New Roman" w:eastAsia="Times New Roman" w:hAnsi="Times New Roman" w:cs="Times New Roman"/>
          <w:color w:val="222222"/>
          <w:sz w:val="24"/>
          <w:szCs w:val="24"/>
          <w:highlight w:val="white"/>
          <w:lang w:val="en-US"/>
        </w:rPr>
        <w:t xml:space="preserve">Martinez-Levy, A.C., Rossi, D., </w:t>
      </w:r>
      <w:proofErr w:type="spellStart"/>
      <w:r w:rsidRPr="00093EB6">
        <w:rPr>
          <w:rFonts w:ascii="Times New Roman" w:eastAsia="Times New Roman" w:hAnsi="Times New Roman" w:cs="Times New Roman"/>
          <w:color w:val="222222"/>
          <w:sz w:val="24"/>
          <w:szCs w:val="24"/>
          <w:highlight w:val="white"/>
          <w:lang w:val="en-US"/>
        </w:rPr>
        <w:t>Cartocci</w:t>
      </w:r>
      <w:proofErr w:type="spellEnd"/>
      <w:r w:rsidRPr="00093EB6">
        <w:rPr>
          <w:rFonts w:ascii="Times New Roman" w:eastAsia="Times New Roman" w:hAnsi="Times New Roman" w:cs="Times New Roman"/>
          <w:color w:val="222222"/>
          <w:sz w:val="24"/>
          <w:szCs w:val="24"/>
          <w:highlight w:val="white"/>
          <w:lang w:val="en-US"/>
        </w:rPr>
        <w:t xml:space="preserve">, G. </w:t>
      </w:r>
      <w:r w:rsidRPr="00093EB6">
        <w:rPr>
          <w:rFonts w:ascii="Times New Roman" w:eastAsia="Times New Roman" w:hAnsi="Times New Roman" w:cs="Times New Roman"/>
          <w:i/>
          <w:color w:val="222222"/>
          <w:sz w:val="24"/>
          <w:szCs w:val="24"/>
          <w:highlight w:val="white"/>
          <w:lang w:val="en-US"/>
        </w:rPr>
        <w:t>et al.</w:t>
      </w:r>
      <w:r w:rsidRPr="00093EB6">
        <w:rPr>
          <w:rFonts w:ascii="Times New Roman" w:eastAsia="Times New Roman" w:hAnsi="Times New Roman" w:cs="Times New Roman"/>
          <w:color w:val="222222"/>
          <w:sz w:val="24"/>
          <w:szCs w:val="24"/>
          <w:highlight w:val="white"/>
          <w:lang w:val="en-US"/>
        </w:rPr>
        <w:t xml:space="preserve"> Message framing, non-conscious perception and effectiveness in non-profit advertising. Contribution by neuromarketing research. </w:t>
      </w:r>
      <w:r w:rsidRPr="00093EB6">
        <w:rPr>
          <w:rFonts w:ascii="Times New Roman" w:eastAsia="Times New Roman" w:hAnsi="Times New Roman" w:cs="Times New Roman"/>
          <w:i/>
          <w:color w:val="222222"/>
          <w:sz w:val="24"/>
          <w:szCs w:val="24"/>
          <w:highlight w:val="white"/>
          <w:lang w:val="en-US"/>
        </w:rPr>
        <w:t>Int Rev Public Nonprofit Mark</w:t>
      </w:r>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b/>
          <w:color w:val="222222"/>
          <w:sz w:val="24"/>
          <w:szCs w:val="24"/>
          <w:highlight w:val="white"/>
          <w:lang w:val="en-US"/>
        </w:rPr>
        <w:t>19</w:t>
      </w:r>
      <w:r w:rsidRPr="00093EB6">
        <w:rPr>
          <w:rFonts w:ascii="Times New Roman" w:eastAsia="Times New Roman" w:hAnsi="Times New Roman" w:cs="Times New Roman"/>
          <w:color w:val="222222"/>
          <w:sz w:val="24"/>
          <w:szCs w:val="24"/>
          <w:highlight w:val="white"/>
          <w:lang w:val="en-US"/>
        </w:rPr>
        <w:t xml:space="preserve">, 53–75 (2022). </w:t>
      </w:r>
      <w:hyperlink r:id="rId55">
        <w:r w:rsidRPr="00093EB6">
          <w:rPr>
            <w:rFonts w:ascii="Times New Roman" w:eastAsia="Times New Roman" w:hAnsi="Times New Roman" w:cs="Times New Roman"/>
            <w:color w:val="1155CC"/>
            <w:sz w:val="24"/>
            <w:szCs w:val="24"/>
            <w:highlight w:val="white"/>
            <w:u w:val="single"/>
            <w:lang w:val="en-US"/>
          </w:rPr>
          <w:t>https://doi.org/10.1007/s12208-021-00289-0</w:t>
        </w:r>
      </w:hyperlink>
      <w:r w:rsidRPr="00093EB6">
        <w:rPr>
          <w:rFonts w:ascii="Times New Roman" w:eastAsia="Times New Roman" w:hAnsi="Times New Roman" w:cs="Times New Roman"/>
          <w:color w:val="222222"/>
          <w:sz w:val="24"/>
          <w:szCs w:val="24"/>
          <w:highlight w:val="white"/>
          <w:lang w:val="en-US"/>
        </w:rPr>
        <w:t xml:space="preserve"> </w:t>
      </w:r>
    </w:p>
    <w:p w14:paraId="6EF8AB04" w14:textId="77777777" w:rsidR="006331E1" w:rsidRDefault="006331E1" w:rsidP="006331E1">
      <w:pPr>
        <w:spacing w:after="10pt" w:line="18pt" w:lineRule="auto"/>
        <w:ind w:start="36pt"/>
        <w:jc w:val="both"/>
        <w:rPr>
          <w:rFonts w:ascii="Times New Roman" w:eastAsia="Times New Roman" w:hAnsi="Times New Roman" w:cs="Times New Roman"/>
          <w:color w:val="05103E"/>
          <w:sz w:val="24"/>
          <w:szCs w:val="24"/>
        </w:rPr>
      </w:pPr>
      <w:proofErr w:type="spellStart"/>
      <w:r w:rsidRPr="00093EB6">
        <w:rPr>
          <w:rFonts w:ascii="Times New Roman" w:eastAsia="Times New Roman" w:hAnsi="Times New Roman" w:cs="Times New Roman"/>
          <w:sz w:val="24"/>
          <w:szCs w:val="24"/>
          <w:lang w:val="en-US"/>
        </w:rPr>
        <w:t>Mashrur</w:t>
      </w:r>
      <w:proofErr w:type="spellEnd"/>
      <w:r w:rsidRPr="00093EB6">
        <w:rPr>
          <w:rFonts w:ascii="Times New Roman" w:eastAsia="Times New Roman" w:hAnsi="Times New Roman" w:cs="Times New Roman"/>
          <w:sz w:val="24"/>
          <w:szCs w:val="24"/>
          <w:lang w:val="en-US"/>
        </w:rPr>
        <w:t xml:space="preserve">, F., Rahman, K., Miya, M., Vaidyanathan, R., Anwar, S., Sarker, F., &amp; Mamun, K. (2022). BCI-Based Consumers’ Choice Prediction from EEG Signals: </w:t>
      </w:r>
      <w:r w:rsidRPr="00093EB6">
        <w:rPr>
          <w:rFonts w:ascii="Times New Roman" w:eastAsia="Times New Roman" w:hAnsi="Times New Roman" w:cs="Times New Roman"/>
          <w:sz w:val="24"/>
          <w:szCs w:val="24"/>
          <w:lang w:val="en-US"/>
        </w:rPr>
        <w:lastRenderedPageBreak/>
        <w:t xml:space="preserve">an Intelligent Neuromarketing Framework. </w:t>
      </w:r>
      <w:proofErr w:type="spellStart"/>
      <w:r>
        <w:rPr>
          <w:rFonts w:ascii="Times New Roman" w:eastAsia="Times New Roman" w:hAnsi="Times New Roman" w:cs="Times New Roman"/>
          <w:i/>
          <w:sz w:val="24"/>
          <w:szCs w:val="24"/>
        </w:rPr>
        <w:t>Frontiers</w:t>
      </w:r>
      <w:proofErr w:type="spellEnd"/>
      <w:r>
        <w:rPr>
          <w:rFonts w:ascii="Times New Roman" w:eastAsia="Times New Roman" w:hAnsi="Times New Roman" w:cs="Times New Roman"/>
          <w:i/>
          <w:sz w:val="24"/>
          <w:szCs w:val="24"/>
        </w:rPr>
        <w:t xml:space="preserve"> In Human </w:t>
      </w:r>
      <w:proofErr w:type="spellStart"/>
      <w:r>
        <w:rPr>
          <w:rFonts w:ascii="Times New Roman" w:eastAsia="Times New Roman" w:hAnsi="Times New Roman" w:cs="Times New Roman"/>
          <w:i/>
          <w:sz w:val="24"/>
          <w:szCs w:val="24"/>
        </w:rPr>
        <w:t>Neuroscience</w:t>
      </w:r>
      <w:proofErr w:type="spellEnd"/>
      <w:r>
        <w:rPr>
          <w:rFonts w:ascii="Times New Roman" w:eastAsia="Times New Roman" w:hAnsi="Times New Roman" w:cs="Times New Roman"/>
          <w:sz w:val="24"/>
          <w:szCs w:val="24"/>
        </w:rPr>
        <w:t xml:space="preserve">, 16 (1) Artículo 861270. </w:t>
      </w:r>
      <w:hyperlink r:id="rId56">
        <w:r>
          <w:rPr>
            <w:rFonts w:ascii="Times New Roman" w:eastAsia="Times New Roman" w:hAnsi="Times New Roman" w:cs="Times New Roman"/>
            <w:color w:val="1155CC"/>
            <w:sz w:val="24"/>
            <w:szCs w:val="24"/>
            <w:u w:val="single"/>
          </w:rPr>
          <w:t>https://doi.org/10.3389/fnhum.2022.861270</w:t>
        </w:r>
      </w:hyperlink>
      <w:r>
        <w:rPr>
          <w:rFonts w:ascii="Times New Roman" w:eastAsia="Times New Roman" w:hAnsi="Times New Roman" w:cs="Times New Roman"/>
          <w:color w:val="05103E"/>
          <w:sz w:val="24"/>
          <w:szCs w:val="24"/>
        </w:rPr>
        <w:t xml:space="preserve"> </w:t>
      </w:r>
    </w:p>
    <w:p w14:paraId="54C5AAB8" w14:textId="77777777" w:rsidR="006331E1" w:rsidRDefault="006331E1" w:rsidP="006331E1">
      <w:pPr>
        <w:spacing w:after="10pt" w:line="18pt" w:lineRule="auto"/>
        <w:ind w:start="36pt"/>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Padilla, A., Quispe, G., Meneses, B., &amp; Zarate, G. (2024). El neuromarketing y el comportamiento de los consumidores de la empresa Alimentos Procesados Agrícolas S.A.C., en los Olivos 2022. </w:t>
      </w:r>
      <w:r>
        <w:rPr>
          <w:rFonts w:ascii="Times New Roman" w:eastAsia="Times New Roman" w:hAnsi="Times New Roman" w:cs="Times New Roman"/>
          <w:i/>
          <w:sz w:val="24"/>
          <w:szCs w:val="24"/>
          <w:highlight w:val="white"/>
        </w:rPr>
        <w:t>Salud, Ciencia y Tecnología - Serie de Conferencias</w:t>
      </w:r>
      <w:r>
        <w:rPr>
          <w:rFonts w:ascii="Times New Roman" w:eastAsia="Times New Roman" w:hAnsi="Times New Roman" w:cs="Times New Roman"/>
          <w:sz w:val="24"/>
          <w:szCs w:val="24"/>
          <w:highlight w:val="white"/>
        </w:rPr>
        <w:t xml:space="preserve">, 3, 642. </w:t>
      </w:r>
      <w:hyperlink r:id="rId57">
        <w:r>
          <w:rPr>
            <w:rFonts w:ascii="Times New Roman" w:eastAsia="Times New Roman" w:hAnsi="Times New Roman" w:cs="Times New Roman"/>
            <w:color w:val="1155CC"/>
            <w:sz w:val="24"/>
            <w:szCs w:val="24"/>
            <w:highlight w:val="white"/>
            <w:u w:val="single"/>
          </w:rPr>
          <w:t>https://doi.org/10.56294/sctconf2024642</w:t>
        </w:r>
      </w:hyperlink>
    </w:p>
    <w:p w14:paraId="3E332ED5" w14:textId="77777777" w:rsidR="006331E1" w:rsidRPr="00093EB6" w:rsidRDefault="006331E1" w:rsidP="006331E1">
      <w:pPr>
        <w:spacing w:after="10pt" w:line="18pt" w:lineRule="auto"/>
        <w:ind w:start="36pt"/>
        <w:jc w:val="both"/>
        <w:rPr>
          <w:rFonts w:ascii="Times New Roman" w:eastAsia="Times New Roman" w:hAnsi="Times New Roman" w:cs="Times New Roman"/>
          <w:color w:val="05103E"/>
          <w:sz w:val="24"/>
          <w:szCs w:val="24"/>
          <w:highlight w:val="white"/>
          <w:lang w:val="en-US"/>
        </w:rPr>
      </w:pPr>
      <w:proofErr w:type="spellStart"/>
      <w:r>
        <w:rPr>
          <w:rFonts w:ascii="Times New Roman" w:eastAsia="Times New Roman" w:hAnsi="Times New Roman" w:cs="Times New Roman"/>
          <w:sz w:val="24"/>
          <w:szCs w:val="24"/>
          <w:highlight w:val="white"/>
        </w:rPr>
        <w:t>Pethö</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Štefko</w:t>
      </w:r>
      <w:proofErr w:type="spellEnd"/>
      <w:r>
        <w:rPr>
          <w:rFonts w:ascii="Times New Roman" w:eastAsia="Times New Roman" w:hAnsi="Times New Roman" w:cs="Times New Roman"/>
          <w:sz w:val="24"/>
          <w:szCs w:val="24"/>
          <w:highlight w:val="white"/>
        </w:rPr>
        <w:t xml:space="preserve">, R., &amp; </w:t>
      </w:r>
      <w:proofErr w:type="spellStart"/>
      <w:r>
        <w:rPr>
          <w:rFonts w:ascii="Times New Roman" w:eastAsia="Times New Roman" w:hAnsi="Times New Roman" w:cs="Times New Roman"/>
          <w:sz w:val="24"/>
          <w:szCs w:val="24"/>
          <w:highlight w:val="white"/>
        </w:rPr>
        <w:t>Gburová</w:t>
      </w:r>
      <w:proofErr w:type="spellEnd"/>
      <w:r>
        <w:rPr>
          <w:rFonts w:ascii="Times New Roman" w:eastAsia="Times New Roman" w:hAnsi="Times New Roman" w:cs="Times New Roman"/>
          <w:sz w:val="24"/>
          <w:szCs w:val="24"/>
          <w:highlight w:val="white"/>
        </w:rPr>
        <w:t xml:space="preserve">, J. (2021). </w:t>
      </w:r>
      <w:r w:rsidRPr="00093EB6">
        <w:rPr>
          <w:rFonts w:ascii="Times New Roman" w:eastAsia="Times New Roman" w:hAnsi="Times New Roman" w:cs="Times New Roman"/>
          <w:sz w:val="24"/>
          <w:szCs w:val="24"/>
          <w:highlight w:val="white"/>
          <w:lang w:val="en-US"/>
        </w:rPr>
        <w:t xml:space="preserve">Product Policy and Neuromarketing in The Context of Slovak Consumer. </w:t>
      </w:r>
      <w:r w:rsidRPr="00093EB6">
        <w:rPr>
          <w:rFonts w:ascii="Times New Roman" w:eastAsia="Times New Roman" w:hAnsi="Times New Roman" w:cs="Times New Roman"/>
          <w:i/>
          <w:sz w:val="24"/>
          <w:szCs w:val="24"/>
          <w:highlight w:val="white"/>
          <w:lang w:val="en-US"/>
        </w:rPr>
        <w:t>Journal Of Marketing Research &amp; Case Studies</w:t>
      </w:r>
      <w:r w:rsidRPr="00093EB6">
        <w:rPr>
          <w:rFonts w:ascii="Times New Roman" w:eastAsia="Times New Roman" w:hAnsi="Times New Roman" w:cs="Times New Roman"/>
          <w:sz w:val="24"/>
          <w:szCs w:val="24"/>
          <w:highlight w:val="white"/>
          <w:lang w:val="en-US"/>
        </w:rPr>
        <w:t xml:space="preserve">, 1-7. </w:t>
      </w:r>
      <w:hyperlink r:id="rId58">
        <w:r w:rsidRPr="00093EB6">
          <w:rPr>
            <w:rFonts w:ascii="Times New Roman" w:eastAsia="Times New Roman" w:hAnsi="Times New Roman" w:cs="Times New Roman"/>
            <w:color w:val="1155CC"/>
            <w:sz w:val="24"/>
            <w:szCs w:val="24"/>
            <w:highlight w:val="white"/>
            <w:u w:val="single"/>
            <w:lang w:val="en-US"/>
          </w:rPr>
          <w:t>https://doi.org/10.5171/2021.800872</w:t>
        </w:r>
      </w:hyperlink>
      <w:r w:rsidRPr="00093EB6">
        <w:rPr>
          <w:rFonts w:ascii="Times New Roman" w:eastAsia="Times New Roman" w:hAnsi="Times New Roman" w:cs="Times New Roman"/>
          <w:color w:val="05103E"/>
          <w:sz w:val="24"/>
          <w:szCs w:val="24"/>
          <w:highlight w:val="white"/>
          <w:lang w:val="en-US"/>
        </w:rPr>
        <w:t xml:space="preserve"> </w:t>
      </w:r>
    </w:p>
    <w:p w14:paraId="4C9880FD" w14:textId="77777777" w:rsidR="006331E1" w:rsidRDefault="006331E1" w:rsidP="006331E1">
      <w:pPr>
        <w:spacing w:after="10pt" w:line="18pt" w:lineRule="auto"/>
        <w:ind w:start="36pt"/>
        <w:jc w:val="both"/>
        <w:rPr>
          <w:rFonts w:ascii="Times New Roman" w:eastAsia="Times New Roman" w:hAnsi="Times New Roman" w:cs="Times New Roman"/>
          <w:sz w:val="24"/>
          <w:szCs w:val="24"/>
          <w:highlight w:val="white"/>
        </w:rPr>
      </w:pPr>
      <w:r w:rsidRPr="005024A9">
        <w:rPr>
          <w:rFonts w:ascii="Times New Roman" w:eastAsia="Times New Roman" w:hAnsi="Times New Roman" w:cs="Times New Roman"/>
          <w:sz w:val="24"/>
          <w:szCs w:val="24"/>
          <w:highlight w:val="white"/>
        </w:rPr>
        <w:t xml:space="preserve">Portela, J., &amp; Rodríguez, C. (2023). </w:t>
      </w:r>
      <w:r>
        <w:rPr>
          <w:rFonts w:ascii="Times New Roman" w:eastAsia="Times New Roman" w:hAnsi="Times New Roman" w:cs="Times New Roman"/>
          <w:sz w:val="24"/>
          <w:szCs w:val="24"/>
          <w:highlight w:val="white"/>
        </w:rPr>
        <w:t xml:space="preserve">El </w:t>
      </w:r>
      <w:proofErr w:type="spellStart"/>
      <w:r>
        <w:rPr>
          <w:rFonts w:ascii="Times New Roman" w:eastAsia="Times New Roman" w:hAnsi="Times New Roman" w:cs="Times New Roman"/>
          <w:sz w:val="24"/>
          <w:szCs w:val="24"/>
          <w:highlight w:val="white"/>
        </w:rPr>
        <w:t>neuroconsumidor</w:t>
      </w:r>
      <w:proofErr w:type="spellEnd"/>
      <w:r>
        <w:rPr>
          <w:rFonts w:ascii="Times New Roman" w:eastAsia="Times New Roman" w:hAnsi="Times New Roman" w:cs="Times New Roman"/>
          <w:sz w:val="24"/>
          <w:szCs w:val="24"/>
          <w:highlight w:val="white"/>
        </w:rPr>
        <w:t>: una revisión narrativa de la bibliografía a la luz de los patrones mentales y emocionales.</w:t>
      </w:r>
      <w:r>
        <w:rPr>
          <w:rFonts w:ascii="Times New Roman" w:eastAsia="Times New Roman" w:hAnsi="Times New Roman" w:cs="Times New Roman"/>
          <w:i/>
          <w:sz w:val="24"/>
          <w:szCs w:val="24"/>
          <w:highlight w:val="white"/>
        </w:rPr>
        <w:t xml:space="preserve"> Revista Latina de Comunicación Social</w:t>
      </w:r>
      <w:r>
        <w:rPr>
          <w:rFonts w:ascii="Times New Roman" w:eastAsia="Times New Roman" w:hAnsi="Times New Roman" w:cs="Times New Roman"/>
          <w:sz w:val="24"/>
          <w:szCs w:val="24"/>
          <w:highlight w:val="white"/>
        </w:rPr>
        <w:t xml:space="preserve">, 81 , 34-57. </w:t>
      </w:r>
      <w:hyperlink r:id="rId59">
        <w:r>
          <w:rPr>
            <w:rFonts w:ascii="Times New Roman" w:eastAsia="Times New Roman" w:hAnsi="Times New Roman" w:cs="Times New Roman"/>
            <w:color w:val="1155CC"/>
            <w:sz w:val="24"/>
            <w:szCs w:val="24"/>
            <w:highlight w:val="white"/>
            <w:u w:val="single"/>
          </w:rPr>
          <w:t>https://doi.org/10.4185/rlcs.2023.1913</w:t>
        </w:r>
      </w:hyperlink>
    </w:p>
    <w:p w14:paraId="11993B10" w14:textId="77777777" w:rsidR="006331E1" w:rsidRPr="00093EB6" w:rsidRDefault="006331E1" w:rsidP="006331E1">
      <w:pPr>
        <w:spacing w:after="10pt" w:line="18pt" w:lineRule="auto"/>
        <w:ind w:start="36pt"/>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color w:val="222222"/>
          <w:sz w:val="24"/>
          <w:szCs w:val="24"/>
          <w:highlight w:val="white"/>
        </w:rPr>
        <w:t>Rancati</w:t>
      </w:r>
      <w:proofErr w:type="spellEnd"/>
      <w:r>
        <w:rPr>
          <w:rFonts w:ascii="Times New Roman" w:eastAsia="Times New Roman" w:hAnsi="Times New Roman" w:cs="Times New Roman"/>
          <w:color w:val="222222"/>
          <w:sz w:val="24"/>
          <w:szCs w:val="24"/>
          <w:highlight w:val="white"/>
        </w:rPr>
        <w:t xml:space="preserve">, G., Nguyen, T. T. T., </w:t>
      </w:r>
      <w:proofErr w:type="spellStart"/>
      <w:r>
        <w:rPr>
          <w:rFonts w:ascii="Times New Roman" w:eastAsia="Times New Roman" w:hAnsi="Times New Roman" w:cs="Times New Roman"/>
          <w:color w:val="222222"/>
          <w:sz w:val="24"/>
          <w:szCs w:val="24"/>
          <w:highlight w:val="white"/>
        </w:rPr>
        <w:t>Fowler</w:t>
      </w:r>
      <w:proofErr w:type="spellEnd"/>
      <w:r>
        <w:rPr>
          <w:rFonts w:ascii="Times New Roman" w:eastAsia="Times New Roman" w:hAnsi="Times New Roman" w:cs="Times New Roman"/>
          <w:color w:val="222222"/>
          <w:sz w:val="24"/>
          <w:szCs w:val="24"/>
          <w:highlight w:val="white"/>
        </w:rPr>
        <w:t xml:space="preserve">, D., Mauri, M., &amp; Schultz, C. D. (2023). </w:t>
      </w:r>
      <w:r w:rsidRPr="00093EB6">
        <w:rPr>
          <w:rFonts w:ascii="Times New Roman" w:eastAsia="Times New Roman" w:hAnsi="Times New Roman" w:cs="Times New Roman"/>
          <w:color w:val="222222"/>
          <w:sz w:val="24"/>
          <w:szCs w:val="24"/>
          <w:highlight w:val="white"/>
          <w:lang w:val="en-US"/>
        </w:rPr>
        <w:t xml:space="preserve">Customer experience in coffee stores: A multidisciplinary Neuromarketing approach. </w:t>
      </w:r>
      <w:r w:rsidRPr="00093EB6">
        <w:rPr>
          <w:rFonts w:ascii="Times New Roman" w:eastAsia="Times New Roman" w:hAnsi="Times New Roman" w:cs="Times New Roman"/>
          <w:i/>
          <w:color w:val="222222"/>
          <w:sz w:val="24"/>
          <w:szCs w:val="24"/>
          <w:highlight w:val="white"/>
          <w:lang w:val="en-US"/>
        </w:rPr>
        <w:t xml:space="preserve">Journal Of Consumer </w:t>
      </w:r>
      <w:proofErr w:type="spellStart"/>
      <w:r w:rsidRPr="00093EB6">
        <w:rPr>
          <w:rFonts w:ascii="Times New Roman" w:eastAsia="Times New Roman" w:hAnsi="Times New Roman" w:cs="Times New Roman"/>
          <w:i/>
          <w:color w:val="222222"/>
          <w:sz w:val="24"/>
          <w:szCs w:val="24"/>
          <w:highlight w:val="white"/>
          <w:lang w:val="en-US"/>
        </w:rPr>
        <w:t>Behaviour</w:t>
      </w:r>
      <w:proofErr w:type="spellEnd"/>
      <w:r w:rsidRPr="00093EB6">
        <w:rPr>
          <w:rFonts w:ascii="Times New Roman" w:eastAsia="Times New Roman" w:hAnsi="Times New Roman" w:cs="Times New Roman"/>
          <w:color w:val="222222"/>
          <w:sz w:val="24"/>
          <w:szCs w:val="24"/>
          <w:highlight w:val="white"/>
          <w:lang w:val="en-US"/>
        </w:rPr>
        <w:t xml:space="preserve">, </w:t>
      </w:r>
      <w:r w:rsidRPr="00093EB6">
        <w:rPr>
          <w:rFonts w:ascii="Times New Roman" w:eastAsia="Times New Roman" w:hAnsi="Times New Roman" w:cs="Times New Roman"/>
          <w:i/>
          <w:color w:val="222222"/>
          <w:sz w:val="24"/>
          <w:szCs w:val="24"/>
          <w:highlight w:val="white"/>
          <w:lang w:val="en-US"/>
        </w:rPr>
        <w:t>23</w:t>
      </w:r>
      <w:r w:rsidRPr="00093EB6">
        <w:rPr>
          <w:rFonts w:ascii="Times New Roman" w:eastAsia="Times New Roman" w:hAnsi="Times New Roman" w:cs="Times New Roman"/>
          <w:color w:val="222222"/>
          <w:sz w:val="24"/>
          <w:szCs w:val="24"/>
          <w:highlight w:val="white"/>
          <w:lang w:val="en-US"/>
        </w:rPr>
        <w:t xml:space="preserve">(1), 243-259. </w:t>
      </w:r>
      <w:hyperlink r:id="rId60">
        <w:r w:rsidRPr="00093EB6">
          <w:rPr>
            <w:rFonts w:ascii="Times New Roman" w:eastAsia="Times New Roman" w:hAnsi="Times New Roman" w:cs="Times New Roman"/>
            <w:color w:val="1155CC"/>
            <w:sz w:val="24"/>
            <w:szCs w:val="24"/>
            <w:highlight w:val="white"/>
            <w:u w:val="single"/>
            <w:lang w:val="en-US"/>
          </w:rPr>
          <w:t>https://doi.org/10.1002/cb.2184</w:t>
        </w:r>
      </w:hyperlink>
      <w:r w:rsidRPr="00093EB6">
        <w:rPr>
          <w:rFonts w:ascii="Times New Roman" w:eastAsia="Times New Roman" w:hAnsi="Times New Roman" w:cs="Times New Roman"/>
          <w:color w:val="222222"/>
          <w:sz w:val="24"/>
          <w:szCs w:val="24"/>
          <w:highlight w:val="white"/>
          <w:lang w:val="en-US"/>
        </w:rPr>
        <w:t xml:space="preserve"> </w:t>
      </w:r>
    </w:p>
    <w:p w14:paraId="3E7B7D6D" w14:textId="77777777" w:rsidR="006331E1" w:rsidRDefault="006331E1" w:rsidP="006331E1">
      <w:pPr>
        <w:spacing w:after="10pt" w:line="18pt" w:lineRule="auto"/>
        <w:ind w:start="36pt"/>
        <w:jc w:val="both"/>
        <w:rPr>
          <w:rFonts w:ascii="Times New Roman" w:eastAsia="Times New Roman" w:hAnsi="Times New Roman" w:cs="Times New Roman"/>
          <w:i/>
          <w:color w:val="0D0D0D"/>
          <w:sz w:val="24"/>
          <w:szCs w:val="24"/>
          <w:highlight w:val="white"/>
        </w:rPr>
      </w:pPr>
      <w:r w:rsidRPr="00093EB6">
        <w:rPr>
          <w:rFonts w:ascii="Times New Roman" w:eastAsia="Times New Roman" w:hAnsi="Times New Roman" w:cs="Times New Roman"/>
          <w:sz w:val="24"/>
          <w:szCs w:val="24"/>
          <w:highlight w:val="white"/>
          <w:lang w:val="en-US"/>
        </w:rPr>
        <w:t xml:space="preserve">Rodas, J. &amp; Montoya-Restrepo, L. (2019). Measurement and analysis of television commercials based on the computer tools </w:t>
      </w:r>
      <w:proofErr w:type="spellStart"/>
      <w:r w:rsidRPr="00093EB6">
        <w:rPr>
          <w:rFonts w:ascii="Times New Roman" w:eastAsia="Times New Roman" w:hAnsi="Times New Roman" w:cs="Times New Roman"/>
          <w:sz w:val="24"/>
          <w:szCs w:val="24"/>
          <w:highlight w:val="white"/>
          <w:lang w:val="en-US"/>
        </w:rPr>
        <w:t>eyetracking</w:t>
      </w:r>
      <w:proofErr w:type="spellEnd"/>
      <w:r w:rsidRPr="00093EB6">
        <w:rPr>
          <w:rFonts w:ascii="Times New Roman" w:eastAsia="Times New Roman" w:hAnsi="Times New Roman" w:cs="Times New Roman"/>
          <w:sz w:val="24"/>
          <w:szCs w:val="24"/>
          <w:highlight w:val="white"/>
          <w:lang w:val="en-US"/>
        </w:rPr>
        <w:t xml:space="preserve"> and </w:t>
      </w:r>
      <w:proofErr w:type="spellStart"/>
      <w:r w:rsidRPr="00093EB6">
        <w:rPr>
          <w:rFonts w:ascii="Times New Roman" w:eastAsia="Times New Roman" w:hAnsi="Times New Roman" w:cs="Times New Roman"/>
          <w:sz w:val="24"/>
          <w:szCs w:val="24"/>
          <w:highlight w:val="white"/>
          <w:lang w:val="en-US"/>
        </w:rPr>
        <w:t>facereader</w:t>
      </w:r>
      <w:proofErr w:type="spellEnd"/>
      <w:r w:rsidRPr="00093EB6">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i/>
          <w:sz w:val="24"/>
          <w:szCs w:val="24"/>
          <w:highlight w:val="white"/>
        </w:rPr>
        <w:t>Información Tecnológica</w:t>
      </w:r>
      <w:r>
        <w:rPr>
          <w:rFonts w:ascii="Times New Roman" w:eastAsia="Times New Roman" w:hAnsi="Times New Roman" w:cs="Times New Roman"/>
          <w:sz w:val="24"/>
          <w:szCs w:val="24"/>
          <w:highlight w:val="white"/>
        </w:rPr>
        <w:t xml:space="preserve">, 30 (2), 3-10. </w:t>
      </w:r>
      <w:hyperlink r:id="rId61">
        <w:r>
          <w:rPr>
            <w:rFonts w:ascii="Times New Roman" w:eastAsia="Times New Roman" w:hAnsi="Times New Roman" w:cs="Times New Roman"/>
            <w:color w:val="1155CC"/>
            <w:sz w:val="24"/>
            <w:szCs w:val="24"/>
            <w:highlight w:val="white"/>
            <w:u w:val="single"/>
          </w:rPr>
          <w:t>https://doi.org/10.4067/S0718-07642019000200003</w:t>
        </w:r>
      </w:hyperlink>
    </w:p>
    <w:p w14:paraId="2287834F" w14:textId="77777777" w:rsidR="006331E1" w:rsidRPr="00093EB6" w:rsidRDefault="006331E1" w:rsidP="006331E1">
      <w:pPr>
        <w:spacing w:after="10pt" w:line="18pt" w:lineRule="auto"/>
        <w:ind w:start="36pt"/>
        <w:jc w:val="both"/>
        <w:rPr>
          <w:rFonts w:ascii="Times New Roman" w:eastAsia="Times New Roman" w:hAnsi="Times New Roman" w:cs="Times New Roman"/>
          <w:color w:val="0D0D0D"/>
          <w:sz w:val="24"/>
          <w:szCs w:val="24"/>
          <w:highlight w:val="white"/>
          <w:lang w:val="pt-BR"/>
        </w:rPr>
      </w:pPr>
      <w:r>
        <w:rPr>
          <w:rFonts w:ascii="Times New Roman" w:eastAsia="Times New Roman" w:hAnsi="Times New Roman" w:cs="Times New Roman"/>
          <w:color w:val="0D0D0D"/>
          <w:sz w:val="24"/>
          <w:szCs w:val="24"/>
          <w:highlight w:val="white"/>
        </w:rPr>
        <w:t xml:space="preserve">Rubio-Garay, M., López-Gonzales, M., Carrasco, M. y Amor, P. (2017) Prevalencia de la violencia en el noviazgo: Una revisión sistemática. </w:t>
      </w:r>
      <w:hyperlink r:id="rId62">
        <w:r w:rsidRPr="00093EB6">
          <w:rPr>
            <w:rFonts w:ascii="Times New Roman" w:eastAsia="Times New Roman" w:hAnsi="Times New Roman" w:cs="Times New Roman"/>
            <w:color w:val="1155CC"/>
            <w:sz w:val="24"/>
            <w:szCs w:val="24"/>
            <w:highlight w:val="white"/>
            <w:u w:val="single"/>
            <w:lang w:val="pt-BR"/>
          </w:rPr>
          <w:t>https://doi.org/10.23923/pap.psicol2017.2831</w:t>
        </w:r>
      </w:hyperlink>
      <w:r w:rsidRPr="00093EB6">
        <w:rPr>
          <w:rFonts w:ascii="Times New Roman" w:eastAsia="Times New Roman" w:hAnsi="Times New Roman" w:cs="Times New Roman"/>
          <w:color w:val="0D0D0D"/>
          <w:sz w:val="24"/>
          <w:szCs w:val="24"/>
          <w:highlight w:val="white"/>
          <w:lang w:val="pt-BR"/>
        </w:rPr>
        <w:t xml:space="preserve"> </w:t>
      </w:r>
    </w:p>
    <w:p w14:paraId="43C536D4" w14:textId="77777777" w:rsidR="006331E1" w:rsidRPr="00093EB6" w:rsidRDefault="006331E1" w:rsidP="006331E1">
      <w:pPr>
        <w:spacing w:after="10pt" w:line="18pt" w:lineRule="auto"/>
        <w:ind w:start="36pt"/>
        <w:jc w:val="both"/>
        <w:rPr>
          <w:rFonts w:ascii="Times New Roman" w:eastAsia="Times New Roman" w:hAnsi="Times New Roman" w:cs="Times New Roman"/>
          <w:color w:val="0D0D0D"/>
          <w:sz w:val="24"/>
          <w:szCs w:val="24"/>
          <w:highlight w:val="white"/>
          <w:lang w:val="en-US"/>
        </w:rPr>
      </w:pPr>
      <w:proofErr w:type="spellStart"/>
      <w:r w:rsidRPr="00093EB6">
        <w:rPr>
          <w:rFonts w:ascii="Times New Roman" w:eastAsia="Times New Roman" w:hAnsi="Times New Roman" w:cs="Times New Roman"/>
          <w:color w:val="0D0D0D"/>
          <w:sz w:val="24"/>
          <w:szCs w:val="24"/>
          <w:highlight w:val="white"/>
          <w:lang w:val="pt-BR"/>
        </w:rPr>
        <w:t>Stefko</w:t>
      </w:r>
      <w:proofErr w:type="spellEnd"/>
      <w:r w:rsidRPr="00093EB6">
        <w:rPr>
          <w:rFonts w:ascii="Times New Roman" w:eastAsia="Times New Roman" w:hAnsi="Times New Roman" w:cs="Times New Roman"/>
          <w:color w:val="0D0D0D"/>
          <w:sz w:val="24"/>
          <w:szCs w:val="24"/>
          <w:highlight w:val="white"/>
          <w:lang w:val="pt-BR"/>
        </w:rPr>
        <w:t xml:space="preserve">, R., </w:t>
      </w:r>
      <w:proofErr w:type="spellStart"/>
      <w:r w:rsidRPr="00093EB6">
        <w:rPr>
          <w:rFonts w:ascii="Times New Roman" w:eastAsia="Times New Roman" w:hAnsi="Times New Roman" w:cs="Times New Roman"/>
          <w:color w:val="0D0D0D"/>
          <w:sz w:val="24"/>
          <w:szCs w:val="24"/>
          <w:highlight w:val="white"/>
          <w:lang w:val="pt-BR"/>
        </w:rPr>
        <w:t>Tomkova</w:t>
      </w:r>
      <w:proofErr w:type="spellEnd"/>
      <w:r w:rsidRPr="00093EB6">
        <w:rPr>
          <w:rFonts w:ascii="Times New Roman" w:eastAsia="Times New Roman" w:hAnsi="Times New Roman" w:cs="Times New Roman"/>
          <w:color w:val="0D0D0D"/>
          <w:sz w:val="24"/>
          <w:szCs w:val="24"/>
          <w:highlight w:val="white"/>
          <w:lang w:val="pt-BR"/>
        </w:rPr>
        <w:t xml:space="preserve">, A., </w:t>
      </w:r>
      <w:proofErr w:type="spellStart"/>
      <w:r w:rsidRPr="00093EB6">
        <w:rPr>
          <w:rFonts w:ascii="Times New Roman" w:eastAsia="Times New Roman" w:hAnsi="Times New Roman" w:cs="Times New Roman"/>
          <w:color w:val="0D0D0D"/>
          <w:sz w:val="24"/>
          <w:szCs w:val="24"/>
          <w:highlight w:val="white"/>
          <w:lang w:val="pt-BR"/>
        </w:rPr>
        <w:t>Kovalova</w:t>
      </w:r>
      <w:proofErr w:type="spellEnd"/>
      <w:r w:rsidRPr="00093EB6">
        <w:rPr>
          <w:rFonts w:ascii="Times New Roman" w:eastAsia="Times New Roman" w:hAnsi="Times New Roman" w:cs="Times New Roman"/>
          <w:color w:val="0D0D0D"/>
          <w:sz w:val="24"/>
          <w:szCs w:val="24"/>
          <w:highlight w:val="white"/>
          <w:lang w:val="pt-BR"/>
        </w:rPr>
        <w:t xml:space="preserve">, J. &amp; </w:t>
      </w:r>
      <w:proofErr w:type="spellStart"/>
      <w:r w:rsidRPr="00093EB6">
        <w:rPr>
          <w:rFonts w:ascii="Times New Roman" w:eastAsia="Times New Roman" w:hAnsi="Times New Roman" w:cs="Times New Roman"/>
          <w:color w:val="0D0D0D"/>
          <w:sz w:val="24"/>
          <w:szCs w:val="24"/>
          <w:highlight w:val="white"/>
          <w:lang w:val="pt-BR"/>
        </w:rPr>
        <w:t>Ondrijova</w:t>
      </w:r>
      <w:proofErr w:type="spellEnd"/>
      <w:r w:rsidRPr="00093EB6">
        <w:rPr>
          <w:rFonts w:ascii="Times New Roman" w:eastAsia="Times New Roman" w:hAnsi="Times New Roman" w:cs="Times New Roman"/>
          <w:color w:val="0D0D0D"/>
          <w:sz w:val="24"/>
          <w:szCs w:val="24"/>
          <w:highlight w:val="white"/>
          <w:lang w:val="pt-BR"/>
        </w:rPr>
        <w:t xml:space="preserve">, I.  </w:t>
      </w:r>
      <w:r w:rsidRPr="00093EB6">
        <w:rPr>
          <w:rFonts w:ascii="Times New Roman" w:eastAsia="Times New Roman" w:hAnsi="Times New Roman" w:cs="Times New Roman"/>
          <w:color w:val="0D0D0D"/>
          <w:sz w:val="24"/>
          <w:szCs w:val="24"/>
          <w:highlight w:val="white"/>
          <w:lang w:val="en-US"/>
        </w:rPr>
        <w:t xml:space="preserve">(2021), “Consumer Purchasing </w:t>
      </w:r>
      <w:proofErr w:type="spellStart"/>
      <w:r w:rsidRPr="00093EB6">
        <w:rPr>
          <w:rFonts w:ascii="Times New Roman" w:eastAsia="Times New Roman" w:hAnsi="Times New Roman" w:cs="Times New Roman"/>
          <w:color w:val="0D0D0D"/>
          <w:sz w:val="24"/>
          <w:szCs w:val="24"/>
          <w:highlight w:val="white"/>
          <w:lang w:val="en-US"/>
        </w:rPr>
        <w:t>Behaviour</w:t>
      </w:r>
      <w:proofErr w:type="spellEnd"/>
      <w:r w:rsidRPr="00093EB6">
        <w:rPr>
          <w:rFonts w:ascii="Times New Roman" w:eastAsia="Times New Roman" w:hAnsi="Times New Roman" w:cs="Times New Roman"/>
          <w:color w:val="0D0D0D"/>
          <w:sz w:val="24"/>
          <w:szCs w:val="24"/>
          <w:highlight w:val="white"/>
          <w:lang w:val="en-US"/>
        </w:rPr>
        <w:t xml:space="preserve"> and Neuromarketing in The Context of Gender Differences", Journal of Marketing Research and Case Studies, Vol. 2021 (2021), </w:t>
      </w:r>
      <w:hyperlink r:id="rId63">
        <w:r w:rsidRPr="00093EB6">
          <w:rPr>
            <w:rFonts w:ascii="Times New Roman" w:eastAsia="Times New Roman" w:hAnsi="Times New Roman" w:cs="Times New Roman"/>
            <w:color w:val="1155CC"/>
            <w:sz w:val="24"/>
            <w:szCs w:val="24"/>
            <w:highlight w:val="white"/>
            <w:u w:val="single"/>
            <w:lang w:val="en-US"/>
          </w:rPr>
          <w:t>http://doi.org/10.5171/2021.321466</w:t>
        </w:r>
      </w:hyperlink>
      <w:r w:rsidRPr="00093EB6">
        <w:rPr>
          <w:rFonts w:ascii="Times New Roman" w:eastAsia="Times New Roman" w:hAnsi="Times New Roman" w:cs="Times New Roman"/>
          <w:color w:val="0D0D0D"/>
          <w:sz w:val="24"/>
          <w:szCs w:val="24"/>
          <w:highlight w:val="white"/>
          <w:lang w:val="en-US"/>
        </w:rPr>
        <w:t xml:space="preserve"> </w:t>
      </w:r>
    </w:p>
    <w:p w14:paraId="7FD547A4" w14:textId="77777777" w:rsidR="006331E1" w:rsidRPr="00093EB6"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lang w:val="en-US"/>
        </w:rPr>
      </w:pPr>
      <w:proofErr w:type="spellStart"/>
      <w:r w:rsidRPr="00093EB6">
        <w:rPr>
          <w:rFonts w:ascii="Times New Roman" w:eastAsia="Times New Roman" w:hAnsi="Times New Roman" w:cs="Times New Roman"/>
          <w:color w:val="0D0D0D"/>
          <w:sz w:val="24"/>
          <w:szCs w:val="24"/>
          <w:highlight w:val="white"/>
          <w:lang w:val="en-US"/>
        </w:rPr>
        <w:lastRenderedPageBreak/>
        <w:t>Țichindelean</w:t>
      </w:r>
      <w:proofErr w:type="spellEnd"/>
      <w:r w:rsidRPr="00093EB6">
        <w:rPr>
          <w:rFonts w:ascii="Times New Roman" w:eastAsia="Times New Roman" w:hAnsi="Times New Roman" w:cs="Times New Roman"/>
          <w:color w:val="0D0D0D"/>
          <w:sz w:val="24"/>
          <w:szCs w:val="24"/>
          <w:highlight w:val="white"/>
          <w:lang w:val="en-US"/>
        </w:rPr>
        <w:t xml:space="preserve">, MT., </w:t>
      </w:r>
      <w:proofErr w:type="spellStart"/>
      <w:r w:rsidRPr="00093EB6">
        <w:rPr>
          <w:rFonts w:ascii="Times New Roman" w:eastAsia="Times New Roman" w:hAnsi="Times New Roman" w:cs="Times New Roman"/>
          <w:color w:val="0D0D0D"/>
          <w:sz w:val="24"/>
          <w:szCs w:val="24"/>
          <w:highlight w:val="white"/>
          <w:lang w:val="en-US"/>
        </w:rPr>
        <w:t>Cetină</w:t>
      </w:r>
      <w:proofErr w:type="spellEnd"/>
      <w:r w:rsidRPr="00093EB6">
        <w:rPr>
          <w:rFonts w:ascii="Times New Roman" w:eastAsia="Times New Roman" w:hAnsi="Times New Roman" w:cs="Times New Roman"/>
          <w:color w:val="0D0D0D"/>
          <w:sz w:val="24"/>
          <w:szCs w:val="24"/>
          <w:highlight w:val="white"/>
          <w:lang w:val="en-US"/>
        </w:rPr>
        <w:t xml:space="preserve"> I. &amp; </w:t>
      </w:r>
      <w:proofErr w:type="spellStart"/>
      <w:r w:rsidRPr="00093EB6">
        <w:rPr>
          <w:rFonts w:ascii="Times New Roman" w:eastAsia="Times New Roman" w:hAnsi="Times New Roman" w:cs="Times New Roman"/>
          <w:color w:val="0D0D0D"/>
          <w:sz w:val="24"/>
          <w:szCs w:val="24"/>
          <w:highlight w:val="white"/>
          <w:lang w:val="en-US"/>
        </w:rPr>
        <w:t>Țichindelean</w:t>
      </w:r>
      <w:proofErr w:type="spellEnd"/>
      <w:r w:rsidRPr="00093EB6">
        <w:rPr>
          <w:rFonts w:ascii="Times New Roman" w:eastAsia="Times New Roman" w:hAnsi="Times New Roman" w:cs="Times New Roman"/>
          <w:color w:val="0D0D0D"/>
          <w:sz w:val="24"/>
          <w:szCs w:val="24"/>
          <w:highlight w:val="white"/>
          <w:lang w:val="en-US"/>
        </w:rPr>
        <w:t xml:space="preserve"> M (2019) Studying the User Experience in Online Banking Services: An Eye-Tracking Application. Studies in Business and Economics,14(2) 193-208. </w:t>
      </w:r>
      <w:hyperlink r:id="rId64">
        <w:r w:rsidRPr="00093EB6">
          <w:rPr>
            <w:rFonts w:ascii="Times New Roman" w:eastAsia="Times New Roman" w:hAnsi="Times New Roman" w:cs="Times New Roman"/>
            <w:color w:val="1155CC"/>
            <w:sz w:val="24"/>
            <w:szCs w:val="24"/>
            <w:highlight w:val="white"/>
            <w:u w:val="single"/>
            <w:lang w:val="en-US"/>
          </w:rPr>
          <w:t>https://doi.org/10.2478/sbe-2019-0034</w:t>
        </w:r>
      </w:hyperlink>
    </w:p>
    <w:p w14:paraId="342A5C9C" w14:textId="77777777" w:rsidR="006331E1" w:rsidRDefault="006331E1" w:rsidP="006331E1">
      <w:pPr>
        <w:spacing w:after="10pt" w:line="18pt" w:lineRule="auto"/>
        <w:ind w:start="36pt"/>
        <w:jc w:val="both"/>
        <w:rPr>
          <w:rFonts w:ascii="Times New Roman" w:eastAsia="Times New Roman" w:hAnsi="Times New Roman" w:cs="Times New Roman"/>
          <w:color w:val="222222"/>
          <w:sz w:val="24"/>
          <w:szCs w:val="24"/>
          <w:highlight w:val="white"/>
        </w:rPr>
      </w:pPr>
      <w:proofErr w:type="spellStart"/>
      <w:r w:rsidRPr="00093EB6">
        <w:rPr>
          <w:rFonts w:ascii="Times New Roman" w:eastAsia="Times New Roman" w:hAnsi="Times New Roman" w:cs="Times New Roman"/>
          <w:color w:val="222222"/>
          <w:sz w:val="24"/>
          <w:szCs w:val="24"/>
          <w:highlight w:val="white"/>
          <w:lang w:val="en-US"/>
        </w:rPr>
        <w:t>Zahmati</w:t>
      </w:r>
      <w:proofErr w:type="spellEnd"/>
      <w:r w:rsidRPr="00093EB6">
        <w:rPr>
          <w:rFonts w:ascii="Times New Roman" w:eastAsia="Times New Roman" w:hAnsi="Times New Roman" w:cs="Times New Roman"/>
          <w:color w:val="222222"/>
          <w:sz w:val="24"/>
          <w:szCs w:val="24"/>
          <w:highlight w:val="white"/>
          <w:lang w:val="en-US"/>
        </w:rPr>
        <w:t xml:space="preserve">, M., </w:t>
      </w:r>
      <w:proofErr w:type="spellStart"/>
      <w:r w:rsidRPr="00093EB6">
        <w:rPr>
          <w:rFonts w:ascii="Times New Roman" w:eastAsia="Times New Roman" w:hAnsi="Times New Roman" w:cs="Times New Roman"/>
          <w:color w:val="222222"/>
          <w:sz w:val="24"/>
          <w:szCs w:val="24"/>
          <w:highlight w:val="white"/>
          <w:lang w:val="en-US"/>
        </w:rPr>
        <w:t>Azimzadeh</w:t>
      </w:r>
      <w:proofErr w:type="spellEnd"/>
      <w:r w:rsidRPr="00093EB6">
        <w:rPr>
          <w:rFonts w:ascii="Times New Roman" w:eastAsia="Times New Roman" w:hAnsi="Times New Roman" w:cs="Times New Roman"/>
          <w:color w:val="222222"/>
          <w:sz w:val="24"/>
          <w:szCs w:val="24"/>
          <w:highlight w:val="white"/>
          <w:lang w:val="en-US"/>
        </w:rPr>
        <w:t xml:space="preserve">, S. M., </w:t>
      </w:r>
      <w:proofErr w:type="spellStart"/>
      <w:r w:rsidRPr="00093EB6">
        <w:rPr>
          <w:rFonts w:ascii="Times New Roman" w:eastAsia="Times New Roman" w:hAnsi="Times New Roman" w:cs="Times New Roman"/>
          <w:color w:val="222222"/>
          <w:sz w:val="24"/>
          <w:szCs w:val="24"/>
          <w:highlight w:val="white"/>
          <w:lang w:val="en-US"/>
        </w:rPr>
        <w:t>Sotoodeh</w:t>
      </w:r>
      <w:proofErr w:type="spellEnd"/>
      <w:r w:rsidRPr="00093EB6">
        <w:rPr>
          <w:rFonts w:ascii="Times New Roman" w:eastAsia="Times New Roman" w:hAnsi="Times New Roman" w:cs="Times New Roman"/>
          <w:color w:val="222222"/>
          <w:sz w:val="24"/>
          <w:szCs w:val="24"/>
          <w:highlight w:val="white"/>
          <w:lang w:val="en-US"/>
        </w:rPr>
        <w:t xml:space="preserve">, M. S., &amp; Asgari, O. (2023). An eye-tracking study on how the popularity and gender of the endorsers affected the audience’s attention on the advertisement. </w:t>
      </w:r>
      <w:r>
        <w:rPr>
          <w:rFonts w:ascii="Times New Roman" w:eastAsia="Times New Roman" w:hAnsi="Times New Roman" w:cs="Times New Roman"/>
          <w:i/>
          <w:color w:val="222222"/>
          <w:sz w:val="24"/>
          <w:szCs w:val="24"/>
          <w:highlight w:val="white"/>
        </w:rPr>
        <w:t xml:space="preserve">Electronic Commerce </w:t>
      </w:r>
      <w:proofErr w:type="spellStart"/>
      <w:r>
        <w:rPr>
          <w:rFonts w:ascii="Times New Roman" w:eastAsia="Times New Roman" w:hAnsi="Times New Roman" w:cs="Times New Roman"/>
          <w:i/>
          <w:color w:val="222222"/>
          <w:sz w:val="24"/>
          <w:szCs w:val="24"/>
          <w:highlight w:val="white"/>
        </w:rPr>
        <w:t>Research</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23</w:t>
      </w:r>
      <w:r>
        <w:rPr>
          <w:rFonts w:ascii="Times New Roman" w:eastAsia="Times New Roman" w:hAnsi="Times New Roman" w:cs="Times New Roman"/>
          <w:color w:val="222222"/>
          <w:sz w:val="24"/>
          <w:szCs w:val="24"/>
          <w:highlight w:val="white"/>
        </w:rPr>
        <w:t xml:space="preserve">(3), 1665-1676. </w:t>
      </w:r>
      <w:hyperlink r:id="rId65">
        <w:r>
          <w:rPr>
            <w:rFonts w:ascii="Times New Roman" w:eastAsia="Times New Roman" w:hAnsi="Times New Roman" w:cs="Times New Roman"/>
            <w:color w:val="1155CC"/>
            <w:sz w:val="24"/>
            <w:szCs w:val="24"/>
            <w:highlight w:val="white"/>
            <w:u w:val="single"/>
          </w:rPr>
          <w:t>https://doi.org/10.1007/s10660-023-09676-7</w:t>
        </w:r>
      </w:hyperlink>
      <w:r>
        <w:rPr>
          <w:rFonts w:ascii="Times New Roman" w:eastAsia="Times New Roman" w:hAnsi="Times New Roman" w:cs="Times New Roman"/>
          <w:color w:val="222222"/>
          <w:sz w:val="24"/>
          <w:szCs w:val="24"/>
          <w:highlight w:val="white"/>
        </w:rPr>
        <w:t xml:space="preserve"> </w:t>
      </w:r>
    </w:p>
    <w:p w14:paraId="3457C361" w14:textId="77777777" w:rsidR="00ED2FB5" w:rsidRPr="003B1259" w:rsidRDefault="00ED2FB5" w:rsidP="00ED2FB5">
      <w:pPr>
        <w:spacing w:line="18pt" w:lineRule="auto"/>
        <w:ind w:start="36pt"/>
        <w:jc w:val="both"/>
        <w:rPr>
          <w:rFonts w:ascii="Times New Roman" w:eastAsia="Times New Roman" w:hAnsi="Times New Roman" w:cs="Times New Roman"/>
          <w:color w:val="05103E"/>
          <w:sz w:val="24"/>
          <w:szCs w:val="24"/>
        </w:rPr>
      </w:pPr>
    </w:p>
    <w:p w14:paraId="25EF423F"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6CD34D7"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97100A8"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2F332418"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57FC783F"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5024694" w14:textId="44337662" w:rsidR="0068230B" w:rsidRPr="00D51211" w:rsidRDefault="0068230B" w:rsidP="00ED2FB5">
      <w:pPr>
        <w:widowControl w:val="0"/>
        <w:spacing w:before="12pt" w:line="18pt" w:lineRule="auto"/>
        <w:ind w:start="72pt" w:hanging="36pt"/>
        <w:jc w:val="both"/>
        <w:rPr>
          <w:rFonts w:ascii="Times New Roman" w:hAnsi="Times New Roman" w:cs="Times New Roman"/>
          <w:lang w:val="en-US"/>
        </w:rPr>
      </w:pPr>
    </w:p>
    <w:sectPr w:rsidR="0068230B" w:rsidRPr="00D51211" w:rsidSect="003B55D7">
      <w:headerReference w:type="even" r:id="rId66"/>
      <w:headerReference w:type="default" r:id="rId67"/>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0A6AD506" w14:textId="77777777" w:rsidR="001D2C8D" w:rsidRDefault="001D2C8D" w:rsidP="00901D1C">
      <w:pPr>
        <w:spacing w:after="0pt" w:line="12pt" w:lineRule="auto"/>
      </w:pPr>
      <w:r>
        <w:separator/>
      </w:r>
    </w:p>
  </w:endnote>
  <w:endnote w:type="continuationSeparator" w:id="0">
    <w:p w14:paraId="698D6C1E" w14:textId="77777777" w:rsidR="001D2C8D" w:rsidRDefault="001D2C8D"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34B4F7B8"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D5121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D14860">
      <w:rPr>
        <w:rFonts w:ascii="Book Antiqua" w:eastAsiaTheme="majorEastAsia" w:hAnsi="Book Antiqua" w:cstheme="majorBidi"/>
        <w:b/>
        <w:bCs/>
        <w:color w:val="00B050"/>
        <w:sz w:val="20"/>
        <w:szCs w:val="20"/>
      </w:rPr>
      <w:t>1</w:t>
    </w:r>
    <w:r w:rsidR="00612ADC">
      <w:rPr>
        <w:rFonts w:ascii="Book Antiqua" w:eastAsiaTheme="majorEastAsia" w:hAnsi="Book Antiqua" w:cstheme="majorBidi"/>
        <w:b/>
        <w:bCs/>
        <w:color w:val="00B050"/>
        <w:sz w:val="20"/>
        <w:szCs w:val="20"/>
      </w:rPr>
      <w:t>54</w:t>
    </w:r>
    <w:r w:rsidRPr="00601C86">
      <w:rPr>
        <w:rFonts w:ascii="Book Antiqua" w:eastAsiaTheme="majorEastAsia" w:hAnsi="Book Antiqua" w:cstheme="majorBidi"/>
        <w:b/>
        <w:bCs/>
        <w:color w:val="00B050"/>
        <w:sz w:val="20"/>
        <w:szCs w:val="20"/>
      </w:rPr>
      <w:t>-</w:t>
    </w:r>
    <w:r w:rsidR="00ED2FB5">
      <w:rPr>
        <w:rFonts w:ascii="Book Antiqua" w:eastAsiaTheme="majorEastAsia" w:hAnsi="Book Antiqua" w:cstheme="majorBidi"/>
        <w:b/>
        <w:bCs/>
        <w:color w:val="00B050"/>
        <w:sz w:val="20"/>
        <w:szCs w:val="20"/>
      </w:rPr>
      <w:t>1</w:t>
    </w:r>
    <w:r w:rsidR="00612ADC">
      <w:rPr>
        <w:rFonts w:ascii="Book Antiqua" w:eastAsiaTheme="majorEastAsia" w:hAnsi="Book Antiqua" w:cstheme="majorBidi"/>
        <w:b/>
        <w:bCs/>
        <w:color w:val="00B050"/>
        <w:sz w:val="20"/>
        <w:szCs w:val="20"/>
      </w:rPr>
      <w:t>87</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49D46D73" w14:textId="77777777" w:rsidR="001D2C8D" w:rsidRDefault="001D2C8D" w:rsidP="00901D1C">
      <w:pPr>
        <w:spacing w:after="0pt" w:line="12pt" w:lineRule="auto"/>
      </w:pPr>
      <w:r>
        <w:separator/>
      </w:r>
    </w:p>
  </w:footnote>
  <w:footnote w:type="continuationSeparator" w:id="0">
    <w:p w14:paraId="0E21B62A" w14:textId="77777777" w:rsidR="001D2C8D" w:rsidRDefault="001D2C8D"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3C5F752F"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2</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3</w:t>
    </w:r>
    <w:r w:rsidRPr="00091E0A">
      <w:rPr>
        <w:rFonts w:asciiTheme="majorHAnsi" w:eastAsia="Calibri" w:hAnsiTheme="majorHAnsi" w:cstheme="majorHAnsi"/>
        <w:bCs/>
        <w:color w:val="00B050"/>
      </w:rPr>
      <w:t xml:space="preserve">), </w:t>
    </w:r>
    <w:r w:rsidR="00612ADC">
      <w:rPr>
        <w:rFonts w:asciiTheme="majorHAnsi" w:eastAsia="Calibri" w:hAnsiTheme="majorHAnsi" w:cstheme="majorHAnsi"/>
        <w:bCs/>
        <w:color w:val="00B050"/>
      </w:rPr>
      <w:t>154</w:t>
    </w:r>
    <w:r w:rsidRPr="00091E0A">
      <w:rPr>
        <w:rFonts w:asciiTheme="majorHAnsi" w:eastAsia="Calibri" w:hAnsiTheme="majorHAnsi" w:cstheme="majorHAnsi"/>
        <w:bCs/>
        <w:color w:val="00B050"/>
      </w:rPr>
      <w:t>-</w:t>
    </w:r>
    <w:r w:rsidR="00612ADC">
      <w:rPr>
        <w:rFonts w:asciiTheme="majorHAnsi" w:eastAsia="Calibri" w:hAnsiTheme="majorHAnsi" w:cstheme="majorHAnsi"/>
        <w:bCs/>
        <w:color w:val="00B050"/>
      </w:rPr>
      <w:t>187</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138B15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3</w:t>
    </w:r>
    <w:r w:rsidRPr="00601C86">
      <w:rPr>
        <w:rFonts w:asciiTheme="majorHAnsi" w:eastAsia="Calibri" w:hAnsiTheme="majorHAnsi" w:cs="Times New Roman"/>
        <w:b/>
        <w:color w:val="00B050"/>
      </w:rPr>
      <w:t xml:space="preserve">), </w:t>
    </w:r>
    <w:r w:rsidR="006331E1">
      <w:rPr>
        <w:rFonts w:asciiTheme="majorHAnsi" w:eastAsia="Calibri" w:hAnsiTheme="majorHAnsi" w:cs="Times New Roman"/>
        <w:b/>
        <w:color w:val="00B050"/>
      </w:rPr>
      <w:t>131</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1</w:t>
    </w:r>
    <w:r w:rsidR="00D14860">
      <w:rPr>
        <w:rFonts w:asciiTheme="majorHAnsi" w:eastAsia="Calibri" w:hAnsiTheme="majorHAnsi" w:cs="Times New Roman"/>
        <w:b/>
        <w:color w:val="00B050"/>
      </w:rPr>
      <w:t>65</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2CAB062F" w14:textId="7BFB31A9" w:rsidR="006331E1" w:rsidRPr="006331E1" w:rsidRDefault="005024A9" w:rsidP="006331E1">
    <w:pPr>
      <w:pBdr>
        <w:bottom w:val="single" w:sz="4" w:space="1" w:color="auto"/>
      </w:pBdr>
      <w:spacing w:after="12pt" w:line="18pt" w:lineRule="auto"/>
      <w:jc w:val="both"/>
      <w:rPr>
        <w:rFonts w:ascii="Times New Roman" w:eastAsia="Times New Roman" w:hAnsi="Times New Roman" w:cs="Times New Roman"/>
        <w:bCs/>
        <w:color w:val="2F5496" w:themeColor="accent1" w:themeShade="BF"/>
      </w:rPr>
    </w:pPr>
    <w:r>
      <w:rPr>
        <w:rFonts w:ascii="Times New Roman" w:eastAsia="Times New Roman" w:hAnsi="Times New Roman" w:cs="Times New Roman"/>
        <w:bCs/>
        <w:color w:val="2F5496" w:themeColor="accent1" w:themeShade="BF"/>
      </w:rPr>
      <w:t xml:space="preserve">El </w:t>
    </w:r>
    <w:r w:rsidR="006331E1" w:rsidRPr="006331E1">
      <w:rPr>
        <w:rFonts w:ascii="Times New Roman" w:eastAsia="Times New Roman" w:hAnsi="Times New Roman" w:cs="Times New Roman"/>
        <w:bCs/>
        <w:color w:val="2F5496" w:themeColor="accent1" w:themeShade="BF"/>
      </w:rPr>
      <w:t>Neuromarketing y el comportamiento de compra del consumidor 2019-2024.</w:t>
    </w: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CCFD54E" w14:textId="64BAD9B2" w:rsidR="00D94F47" w:rsidRPr="00D51211" w:rsidRDefault="006331E1" w:rsidP="00D51211">
    <w:pPr>
      <w:pBdr>
        <w:bottom w:val="single" w:sz="4" w:space="1" w:color="auto"/>
      </w:pBdr>
      <w:spacing w:after="0pt" w:line="12pt" w:lineRule="auto"/>
      <w:jc w:val="end"/>
      <w:rPr>
        <w:rFonts w:ascii="Book Antiqua" w:hAnsi="Book Antiqua"/>
        <w:color w:val="2F5496" w:themeColor="accent1" w:themeShade="BF"/>
      </w:rPr>
    </w:pPr>
    <w:r w:rsidRPr="006331E1">
      <w:rPr>
        <w:rFonts w:ascii="Times New Roman" w:eastAsia="Times New Roman" w:hAnsi="Times New Roman" w:cs="Times New Roman"/>
        <w:color w:val="2F5496" w:themeColor="accent1" w:themeShade="BF"/>
      </w:rPr>
      <w:t xml:space="preserve">Montalván </w:t>
    </w:r>
    <w:r w:rsidR="00D51211" w:rsidRPr="005804F0">
      <w:rPr>
        <w:rFonts w:ascii="Times New Roman" w:eastAsia="Times New Roman" w:hAnsi="Times New Roman" w:cs="Times New Roman"/>
        <w:color w:val="2F5496" w:themeColor="accent1" w:themeShade="BF"/>
      </w:rPr>
      <w:t>et</w:t>
    </w:r>
    <w:r w:rsidR="00D51211">
      <w:rPr>
        <w:rFonts w:ascii="Times New Roman" w:eastAsia="Times New Roman" w:hAnsi="Times New Roman" w:cs="Times New Roman"/>
        <w:color w:val="2F5496" w:themeColor="accent1" w:themeShade="BF"/>
      </w:rPr>
      <w:t>. al.</w:t>
    </w: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0AD7165D"/>
    <w:multiLevelType w:val="multilevel"/>
    <w:tmpl w:val="3A5678F8"/>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 w15:restartNumberingAfterBreak="0">
    <w:nsid w:val="3AEB7967"/>
    <w:multiLevelType w:val="multilevel"/>
    <w:tmpl w:val="6648587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45BE533A"/>
    <w:multiLevelType w:val="multilevel"/>
    <w:tmpl w:val="503EEE1C"/>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6" w15:restartNumberingAfterBreak="0">
    <w:nsid w:val="45E80E2F"/>
    <w:multiLevelType w:val="multilevel"/>
    <w:tmpl w:val="90E0513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7"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8" w15:restartNumberingAfterBreak="0">
    <w:nsid w:val="7450720F"/>
    <w:multiLevelType w:val="multilevel"/>
    <w:tmpl w:val="0FF0C35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num w:numId="1" w16cid:durableId="1821386175">
    <w:abstractNumId w:val="7"/>
  </w:num>
  <w:num w:numId="2" w16cid:durableId="1560746783">
    <w:abstractNumId w:val="2"/>
  </w:num>
  <w:num w:numId="3" w16cid:durableId="456684523">
    <w:abstractNumId w:val="0"/>
  </w:num>
  <w:num w:numId="4" w16cid:durableId="395708951">
    <w:abstractNumId w:val="3"/>
  </w:num>
  <w:num w:numId="5" w16cid:durableId="1585144277">
    <w:abstractNumId w:val="1"/>
  </w:num>
  <w:num w:numId="6" w16cid:durableId="1739788748">
    <w:abstractNumId w:val="4"/>
  </w:num>
  <w:num w:numId="7" w16cid:durableId="169373247">
    <w:abstractNumId w:val="5"/>
  </w:num>
  <w:num w:numId="8" w16cid:durableId="2144928217">
    <w:abstractNumId w:val="8"/>
  </w:num>
  <w:num w:numId="9" w16cid:durableId="875850006">
    <w:abstractNumId w:val="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24C02"/>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7532"/>
    <w:rsid w:val="000A1B16"/>
    <w:rsid w:val="000A2616"/>
    <w:rsid w:val="000A3173"/>
    <w:rsid w:val="000B093B"/>
    <w:rsid w:val="000C381A"/>
    <w:rsid w:val="000C657D"/>
    <w:rsid w:val="000F4E46"/>
    <w:rsid w:val="000F5DB8"/>
    <w:rsid w:val="00103025"/>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2C8D"/>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2434"/>
    <w:rsid w:val="00337163"/>
    <w:rsid w:val="003403FB"/>
    <w:rsid w:val="00346FD9"/>
    <w:rsid w:val="00350299"/>
    <w:rsid w:val="0035677F"/>
    <w:rsid w:val="00367BB4"/>
    <w:rsid w:val="00370847"/>
    <w:rsid w:val="00372C5D"/>
    <w:rsid w:val="00375A6B"/>
    <w:rsid w:val="00381783"/>
    <w:rsid w:val="003828C5"/>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01C6"/>
    <w:rsid w:val="00435C48"/>
    <w:rsid w:val="00443292"/>
    <w:rsid w:val="004447AC"/>
    <w:rsid w:val="0044649C"/>
    <w:rsid w:val="0045100E"/>
    <w:rsid w:val="00452AB7"/>
    <w:rsid w:val="00465E4D"/>
    <w:rsid w:val="00466A29"/>
    <w:rsid w:val="00476483"/>
    <w:rsid w:val="00486C51"/>
    <w:rsid w:val="00486C59"/>
    <w:rsid w:val="00487F78"/>
    <w:rsid w:val="00490E05"/>
    <w:rsid w:val="004979F2"/>
    <w:rsid w:val="004A0D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4A9"/>
    <w:rsid w:val="00502D3D"/>
    <w:rsid w:val="005047F3"/>
    <w:rsid w:val="00505C5E"/>
    <w:rsid w:val="00513DE7"/>
    <w:rsid w:val="00514285"/>
    <w:rsid w:val="00517AF4"/>
    <w:rsid w:val="00520B0A"/>
    <w:rsid w:val="00531173"/>
    <w:rsid w:val="00531495"/>
    <w:rsid w:val="00537189"/>
    <w:rsid w:val="00537B48"/>
    <w:rsid w:val="0055334D"/>
    <w:rsid w:val="005539B0"/>
    <w:rsid w:val="00563C76"/>
    <w:rsid w:val="005653BD"/>
    <w:rsid w:val="005743C7"/>
    <w:rsid w:val="005749E4"/>
    <w:rsid w:val="005804F0"/>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2ADC"/>
    <w:rsid w:val="00613C2D"/>
    <w:rsid w:val="0061588F"/>
    <w:rsid w:val="0062096F"/>
    <w:rsid w:val="0062256C"/>
    <w:rsid w:val="00625870"/>
    <w:rsid w:val="006275AA"/>
    <w:rsid w:val="006331E1"/>
    <w:rsid w:val="00633FAC"/>
    <w:rsid w:val="00636AB8"/>
    <w:rsid w:val="006418C2"/>
    <w:rsid w:val="00650A95"/>
    <w:rsid w:val="006564B9"/>
    <w:rsid w:val="00660AC1"/>
    <w:rsid w:val="006645D7"/>
    <w:rsid w:val="006652D8"/>
    <w:rsid w:val="006670EC"/>
    <w:rsid w:val="006711E5"/>
    <w:rsid w:val="006725FA"/>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D1D4D"/>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64482"/>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3BB9"/>
    <w:rsid w:val="007C570A"/>
    <w:rsid w:val="007C57C4"/>
    <w:rsid w:val="007C5ACD"/>
    <w:rsid w:val="007C7995"/>
    <w:rsid w:val="007D041E"/>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47F75"/>
    <w:rsid w:val="008554CD"/>
    <w:rsid w:val="0086295F"/>
    <w:rsid w:val="00862F56"/>
    <w:rsid w:val="00864437"/>
    <w:rsid w:val="00867B23"/>
    <w:rsid w:val="008733AA"/>
    <w:rsid w:val="008768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3DA3"/>
    <w:rsid w:val="009D5B1D"/>
    <w:rsid w:val="009E2526"/>
    <w:rsid w:val="009E4A7A"/>
    <w:rsid w:val="009F457E"/>
    <w:rsid w:val="00A02C35"/>
    <w:rsid w:val="00A0624D"/>
    <w:rsid w:val="00A13D65"/>
    <w:rsid w:val="00A13D67"/>
    <w:rsid w:val="00A32761"/>
    <w:rsid w:val="00A3684F"/>
    <w:rsid w:val="00A371C2"/>
    <w:rsid w:val="00A453BA"/>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47DE7"/>
    <w:rsid w:val="00B50015"/>
    <w:rsid w:val="00B51038"/>
    <w:rsid w:val="00B65671"/>
    <w:rsid w:val="00B6645C"/>
    <w:rsid w:val="00B8327A"/>
    <w:rsid w:val="00B95E8A"/>
    <w:rsid w:val="00B95F94"/>
    <w:rsid w:val="00BA1FB5"/>
    <w:rsid w:val="00BB25C8"/>
    <w:rsid w:val="00BB4EBC"/>
    <w:rsid w:val="00BB6B90"/>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860"/>
    <w:rsid w:val="00D14C6A"/>
    <w:rsid w:val="00D50756"/>
    <w:rsid w:val="00D51211"/>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517F"/>
    <w:rsid w:val="00E01D65"/>
    <w:rsid w:val="00E023C8"/>
    <w:rsid w:val="00E03A9D"/>
    <w:rsid w:val="00E07353"/>
    <w:rsid w:val="00E12A04"/>
    <w:rsid w:val="00E162E5"/>
    <w:rsid w:val="00E21A2D"/>
    <w:rsid w:val="00E3045A"/>
    <w:rsid w:val="00E32E96"/>
    <w:rsid w:val="00E3382D"/>
    <w:rsid w:val="00E37511"/>
    <w:rsid w:val="00E4776E"/>
    <w:rsid w:val="00E55EF1"/>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2FB5"/>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03B0"/>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0181"/>
    <w:rsid w:val="00FC3A4A"/>
    <w:rsid w:val="00FC5A09"/>
    <w:rsid w:val="00FD3EE8"/>
    <w:rsid w:val="00FD5C5B"/>
    <w:rsid w:val="00FD68FC"/>
    <w:rsid w:val="00FD7703"/>
    <w:rsid w:val="00FD7A27"/>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hyperlink" Target="https://doi.org/10.2478/jeb-2019-0017" TargetMode="External"/><Relationship Id="rId21" Type="http://purl.oclc.org/ooxml/officeDocument/relationships/image" Target="media/image3.png"/><Relationship Id="rId42" Type="http://purl.oclc.org/ooxml/officeDocument/relationships/hyperlink" Target="https://doi.org/10.1080/23311975.2024.2333063" TargetMode="External"/><Relationship Id="rId47" Type="http://purl.oclc.org/ooxml/officeDocument/relationships/hyperlink" Target="https://doi.org/10.1016/j.jbusres.2023.114016" TargetMode="External"/><Relationship Id="rId63" Type="http://purl.oclc.org/ooxml/officeDocument/relationships/hyperlink" Target="http://doi.org/10.5171/2021.321466" TargetMode="External"/><Relationship Id="rId68" Type="http://purl.oclc.org/ooxml/officeDocument/relationships/fontTable" Target="fontTable.xml"/><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https://orcid.org/0009-0009-8988-4677" TargetMode="External"/><Relationship Id="rId29" Type="http://purl.oclc.org/ooxml/officeDocument/relationships/hyperlink" Target="https://doi.upc.elogim.com/10.1108/IJWBR-06-2022-0021" TargetMode="External"/><Relationship Id="rId11" Type="http://purl.oclc.org/ooxml/officeDocument/relationships/footer" Target="footer1.xml"/><Relationship Id="rId24" Type="http://purl.oclc.org/ooxml/officeDocument/relationships/image" Target="media/image6.png"/><Relationship Id="rId32" Type="http://purl.oclc.org/ooxml/officeDocument/relationships/hyperlink" Target="https://emerald.upc.elogim.com/insight/search?q=Juliana%20Cristina%20Boscolo" TargetMode="External"/><Relationship Id="rId37" Type="http://purl.oclc.org/ooxml/officeDocument/relationships/hyperlink" Target="https://doi.org/10.14198/MEDCOM2020.11.2.11" TargetMode="External"/><Relationship Id="rId40" Type="http://purl.oclc.org/ooxml/officeDocument/relationships/hyperlink" Target="https://doi.org/10.1038/s41597-023-02392-9" TargetMode="External"/><Relationship Id="rId45" Type="http://purl.oclc.org/ooxml/officeDocument/relationships/hyperlink" Target="https://doi.org/10.1016/j.ausmj.2020.04.009" TargetMode="External"/><Relationship Id="rId53" Type="http://purl.oclc.org/ooxml/officeDocument/relationships/hyperlink" Target="https://doi.org/10.5585/remark.v23i1.23541" TargetMode="External"/><Relationship Id="rId58" Type="http://purl.oclc.org/ooxml/officeDocument/relationships/hyperlink" Target="https://doi.org/10.5171/2021.800872" TargetMode="External"/><Relationship Id="rId66" Type="http://purl.oclc.org/ooxml/officeDocument/relationships/header" Target="header3.xml"/><Relationship Id="rId5" Type="http://purl.oclc.org/ooxml/officeDocument/relationships/webSettings" Target="webSettings.xml"/><Relationship Id="rId61" Type="http://purl.oclc.org/ooxml/officeDocument/relationships/hyperlink" Target="https://doi.org/10.4067/S0718-07642019000200003" TargetMode="External"/><Relationship Id="rId19" Type="http://purl.oclc.org/ooxml/officeDocument/relationships/hyperlink" Target="mailto:u201710264@upc.edu.pe" TargetMode="External"/><Relationship Id="rId14" Type="http://purl.oclc.org/ooxml/officeDocument/relationships/hyperlink" Target="https://orcid.org/0009-0009-9250-3492" TargetMode="External"/><Relationship Id="rId22" Type="http://purl.oclc.org/ooxml/officeDocument/relationships/image" Target="media/image4.jpg"/><Relationship Id="rId27" Type="http://purl.oclc.org/ooxml/officeDocument/relationships/hyperlink" Target="https://doi.org/10.1002/mar.21697" TargetMode="External"/><Relationship Id="rId30" Type="http://purl.oclc.org/ooxml/officeDocument/relationships/hyperlink" Target="https://doi.org/10.1108/sjme-03-2023-0050" TargetMode="External"/><Relationship Id="rId35" Type="http://purl.oclc.org/ooxml/officeDocument/relationships/hyperlink" Target="https://doi.org/10.3145/epi.2019.sep.04" TargetMode="External"/><Relationship Id="rId43" Type="http://purl.oclc.org/ooxml/officeDocument/relationships/hyperlink" Target="https://doi.org/10.3389/fpsyg.2020.02175" TargetMode="External"/><Relationship Id="rId48" Type="http://purl.oclc.org/ooxml/officeDocument/relationships/hyperlink" Target="https://doi.org/10.1016/j.ijinfomgt.2023.102667" TargetMode="External"/><Relationship Id="rId56" Type="http://purl.oclc.org/ooxml/officeDocument/relationships/hyperlink" Target="https://doi.org/10.3389/fnhum.2022.861270" TargetMode="External"/><Relationship Id="rId64" Type="http://purl.oclc.org/ooxml/officeDocument/relationships/hyperlink" Target="https://doi.org/10.2478/sbe-2019-0034" TargetMode="External"/><Relationship Id="rId69" Type="http://purl.oclc.org/ooxml/officeDocument/relationships/theme" Target="theme/theme1.xml"/><Relationship Id="rId8" Type="http://purl.oclc.org/ooxml/officeDocument/relationships/image" Target="media/image1.png"/><Relationship Id="rId51" Type="http://purl.oclc.org/ooxml/officeDocument/relationships/hyperlink" Target="http://doi/10.1108/IJWBR-03-2016-0009" TargetMode="External"/><Relationship Id="rId3" Type="http://purl.oclc.org/ooxml/officeDocument/relationships/styles" Target="styles.xml"/><Relationship Id="rId12" Type="http://purl.oclc.org/ooxml/officeDocument/relationships/footer" Target="footer2.xml"/><Relationship Id="rId17" Type="http://purl.oclc.org/ooxml/officeDocument/relationships/hyperlink" Target="mailto:u20181f431@upc.edu.pe" TargetMode="External"/><Relationship Id="rId25" Type="http://purl.oclc.org/ooxml/officeDocument/relationships/hyperlink" Target="https://doi.org/10.1108/apjml-04-2019-0240" TargetMode="External"/><Relationship Id="rId33" Type="http://purl.oclc.org/ooxml/officeDocument/relationships/hyperlink" Target="https://doi.upc.elogim.com/10.1108/MIP-11-2019-0598" TargetMode="External"/><Relationship Id="rId38" Type="http://purl.oclc.org/ooxml/officeDocument/relationships/hyperlink" Target="https://doi.org/10.1007/s12208-023-00380-8" TargetMode="External"/><Relationship Id="rId46" Type="http://purl.oclc.org/ooxml/officeDocument/relationships/hyperlink" Target="https://doi.org/10.22495/cgobrv6i2p9" TargetMode="External"/><Relationship Id="rId59" Type="http://purl.oclc.org/ooxml/officeDocument/relationships/hyperlink" Target="https://doi.org/10.4185/rlcs.2023.1913" TargetMode="External"/><Relationship Id="rId67" Type="http://purl.oclc.org/ooxml/officeDocument/relationships/header" Target="header4.xml"/><Relationship Id="rId20" Type="http://purl.oclc.org/ooxml/officeDocument/relationships/hyperlink" Target="https://orcid.org/0009-0000-3097-6977" TargetMode="External"/><Relationship Id="rId41" Type="http://purl.oclc.org/ooxml/officeDocument/relationships/hyperlink" Target="https://doi.org/10.6018/sportk.485921" TargetMode="External"/><Relationship Id="rId54" Type="http://purl.oclc.org/ooxml/officeDocument/relationships/hyperlink" Target="https://doi.org/10.34135/communicationtoday.2023.vol.14.no.1.6" TargetMode="External"/><Relationship Id="rId62" Type="http://purl.oclc.org/ooxml/officeDocument/relationships/hyperlink" Target="https://doi.org/10.23923/pap.psicol2017.2831"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hyperlink" Target="mailto:u201915999@upc.edu.pe" TargetMode="External"/><Relationship Id="rId23" Type="http://purl.oclc.org/ooxml/officeDocument/relationships/image" Target="media/image5.png"/><Relationship Id="rId28" Type="http://purl.oclc.org/ooxml/officeDocument/relationships/hyperlink" Target="https://emerald.upc.elogim.com/insight/search?q=Elena%20Barbierato" TargetMode="External"/><Relationship Id="rId36" Type="http://purl.oclc.org/ooxml/officeDocument/relationships/hyperlink" Target="https://doi.org/10.3916/C63-2020-04" TargetMode="External"/><Relationship Id="rId49" Type="http://purl.oclc.org/ooxml/officeDocument/relationships/hyperlink" Target="https://doi.org/10.3846/btp.2024.20635" TargetMode="External"/><Relationship Id="rId57" Type="http://purl.oclc.org/ooxml/officeDocument/relationships/hyperlink" Target="https://doi.org/10.56294/sctconf2024642" TargetMode="External"/><Relationship Id="rId10" Type="http://purl.oclc.org/ooxml/officeDocument/relationships/header" Target="header2.xml"/><Relationship Id="rId31" Type="http://purl.oclc.org/ooxml/officeDocument/relationships/hyperlink" Target="https://doi.org/10.18421/tem112-47" TargetMode="External"/><Relationship Id="rId44" Type="http://purl.oclc.org/ooxml/officeDocument/relationships/hyperlink" Target="https://doi.org/10.1108/APJML-02-2022-0091" TargetMode="External"/><Relationship Id="rId52" Type="http://purl.oclc.org/ooxml/officeDocument/relationships/hyperlink" Target="https://doi.org/10.3390/bs11020016" TargetMode="External"/><Relationship Id="rId60" Type="http://purl.oclc.org/ooxml/officeDocument/relationships/hyperlink" Target="https://doi.org/10.1002/cb.2184" TargetMode="External"/><Relationship Id="rId65" Type="http://purl.oclc.org/ooxml/officeDocument/relationships/hyperlink" Target="https://doi.org/10.1007/s10660-023-09676-7" TargetMode="External"/><Relationship Id="rId4" Type="http://purl.oclc.org/ooxml/officeDocument/relationships/settings" Target="settings.xml"/><Relationship Id="rId9" Type="http://purl.oclc.org/ooxml/officeDocument/relationships/header" Target="header1.xml"/><Relationship Id="rId13" Type="http://purl.oclc.org/ooxml/officeDocument/relationships/hyperlink" Target="mailto:u201821360@upc.edu.pe" TargetMode="External"/><Relationship Id="rId18" Type="http://purl.oclc.org/ooxml/officeDocument/relationships/hyperlink" Target="https://orcid.org/0009-0007-5506-1424" TargetMode="External"/><Relationship Id="rId39" Type="http://purl.oclc.org/ooxml/officeDocument/relationships/hyperlink" Target="https://doi.org/10.1057/s41262-020-00221-7" TargetMode="External"/><Relationship Id="rId34" Type="http://purl.oclc.org/ooxml/officeDocument/relationships/hyperlink" Target="https://doi.org/10.1111/ijcs.12936" TargetMode="External"/><Relationship Id="rId50" Type="http://purl.oclc.org/ooxml/officeDocument/relationships/hyperlink" Target="https://doi.org/10.3846/btp.2024.20635" TargetMode="External"/><Relationship Id="rId55" Type="http://purl.oclc.org/ooxml/officeDocument/relationships/hyperlink" Target="https://doi.org/10.1007/s12208-021-00289-0"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13</TotalTime>
  <Pages>34</Pages>
  <Words>7585</Words>
  <Characters>41723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10</cp:revision>
  <cp:lastPrinted>2024-12-10T01:34:00Z</cp:lastPrinted>
  <dcterms:created xsi:type="dcterms:W3CDTF">2024-12-09T21:18:00Z</dcterms:created>
  <dcterms:modified xsi:type="dcterms:W3CDTF">2024-12-10T01:58:00Z</dcterms:modified>
</cp:coreProperties>
</file>